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B9C" w:rsidRPr="00220DB9" w:rsidRDefault="00776247" w:rsidP="00220DB9">
      <w:pPr>
        <w:pStyle w:val="Heading2"/>
        <w:keepLines w:val="0"/>
        <w:numPr>
          <w:ilvl w:val="1"/>
          <w:numId w:val="11"/>
        </w:numPr>
        <w:spacing w:before="0" w:after="240"/>
        <w:ind w:left="567" w:hanging="567"/>
        <w:jc w:val="both"/>
        <w:rPr>
          <w:rFonts w:ascii="GHEA Grapalat" w:eastAsia="Times New Roman" w:hAnsi="GHEA Grapalat" w:cs="Times New Roman"/>
          <w:b/>
          <w:noProof/>
          <w:color w:val="auto"/>
          <w:lang w:val="de-AT"/>
        </w:rPr>
      </w:pPr>
      <w:bookmarkStart w:id="0" w:name="_GoBack"/>
      <w:bookmarkEnd w:id="0"/>
      <w:r w:rsidRPr="00220DB9">
        <w:rPr>
          <w:rFonts w:ascii="GHEA Grapalat" w:eastAsia="Times New Roman" w:hAnsi="GHEA Grapalat" w:cs="Times New Roman"/>
          <w:b/>
          <w:noProof/>
          <w:color w:val="auto"/>
          <w:lang w:val="de-AT"/>
        </w:rPr>
        <w:t>ՀՀ</w:t>
      </w:r>
      <w:r w:rsidR="00A22B9C" w:rsidRPr="00220DB9">
        <w:rPr>
          <w:rFonts w:ascii="GHEA Grapalat" w:eastAsia="Times New Roman" w:hAnsi="GHEA Grapalat" w:cs="Times New Roman"/>
          <w:b/>
          <w:noProof/>
          <w:color w:val="auto"/>
          <w:lang w:val="de-AT"/>
        </w:rPr>
        <w:t xml:space="preserve"> 2024</w:t>
      </w:r>
      <w:r w:rsidR="00C30E28" w:rsidRPr="00220DB9">
        <w:rPr>
          <w:rFonts w:ascii="GHEA Grapalat" w:eastAsia="Times New Roman" w:hAnsi="GHEA Grapalat" w:cs="Times New Roman"/>
          <w:b/>
          <w:noProof/>
          <w:color w:val="auto"/>
          <w:lang w:val="de-AT"/>
        </w:rPr>
        <w:t>թ.</w:t>
      </w:r>
      <w:r w:rsidR="00A22B9C" w:rsidRPr="00220DB9">
        <w:rPr>
          <w:rFonts w:ascii="GHEA Grapalat" w:eastAsia="Times New Roman" w:hAnsi="GHEA Grapalat" w:cs="Times New Roman"/>
          <w:b/>
          <w:noProof/>
          <w:color w:val="auto"/>
          <w:lang w:val="de-AT"/>
        </w:rPr>
        <w:t xml:space="preserve"> </w:t>
      </w:r>
      <w:r w:rsidRPr="00220DB9">
        <w:rPr>
          <w:rFonts w:ascii="GHEA Grapalat" w:eastAsia="Times New Roman" w:hAnsi="GHEA Grapalat" w:cs="Times New Roman"/>
          <w:b/>
          <w:noProof/>
          <w:color w:val="auto"/>
          <w:lang w:val="de-AT"/>
        </w:rPr>
        <w:t>պետական</w:t>
      </w:r>
      <w:r w:rsidR="00A22B9C" w:rsidRPr="00220DB9">
        <w:rPr>
          <w:rFonts w:ascii="GHEA Grapalat" w:eastAsia="Times New Roman" w:hAnsi="GHEA Grapalat" w:cs="Times New Roman"/>
          <w:b/>
          <w:noProof/>
          <w:color w:val="auto"/>
          <w:lang w:val="de-AT"/>
        </w:rPr>
        <w:t xml:space="preserve"> </w:t>
      </w:r>
      <w:r w:rsidRPr="00220DB9">
        <w:rPr>
          <w:rFonts w:ascii="GHEA Grapalat" w:eastAsia="Times New Roman" w:hAnsi="GHEA Grapalat" w:cs="Times New Roman"/>
          <w:b/>
          <w:noProof/>
          <w:color w:val="auto"/>
          <w:lang w:val="de-AT"/>
        </w:rPr>
        <w:t>բյուջեի</w:t>
      </w:r>
      <w:r w:rsidR="00A22B9C" w:rsidRPr="00220DB9">
        <w:rPr>
          <w:rFonts w:ascii="GHEA Grapalat" w:eastAsia="Times New Roman" w:hAnsi="GHEA Grapalat" w:cs="Times New Roman"/>
          <w:b/>
          <w:noProof/>
          <w:color w:val="auto"/>
          <w:lang w:val="de-AT"/>
        </w:rPr>
        <w:t xml:space="preserve"> </w:t>
      </w:r>
      <w:r w:rsidRPr="00220DB9">
        <w:rPr>
          <w:rFonts w:ascii="GHEA Grapalat" w:eastAsia="Times New Roman" w:hAnsi="GHEA Grapalat" w:cs="Times New Roman"/>
          <w:b/>
          <w:noProof/>
          <w:color w:val="auto"/>
          <w:lang w:val="de-AT"/>
        </w:rPr>
        <w:t>ծախսերը</w:t>
      </w:r>
      <w:r w:rsidR="00A139E3" w:rsidRPr="00220DB9">
        <w:rPr>
          <w:rFonts w:ascii="GHEA Grapalat" w:eastAsia="Times New Roman" w:hAnsi="GHEA Grapalat" w:cs="Times New Roman"/>
          <w:b/>
          <w:noProof/>
          <w:color w:val="auto"/>
          <w:lang w:val="de-AT"/>
        </w:rPr>
        <w:t xml:space="preserve"> </w:t>
      </w:r>
      <w:r w:rsidRPr="00220DB9">
        <w:rPr>
          <w:rFonts w:ascii="GHEA Grapalat" w:eastAsia="Times New Roman" w:hAnsi="GHEA Grapalat" w:cs="Times New Roman"/>
          <w:b/>
          <w:noProof/>
          <w:color w:val="auto"/>
          <w:lang w:val="de-AT"/>
        </w:rPr>
        <w:t xml:space="preserve">(ըստ </w:t>
      </w:r>
      <w:r w:rsidR="00BE6237" w:rsidRPr="00220DB9">
        <w:rPr>
          <w:rFonts w:ascii="GHEA Grapalat" w:eastAsia="Times New Roman" w:hAnsi="GHEA Grapalat" w:cs="Times New Roman"/>
          <w:b/>
          <w:noProof/>
          <w:color w:val="auto"/>
          <w:lang w:val="de-AT"/>
        </w:rPr>
        <w:t>գործառ</w:t>
      </w:r>
      <w:r w:rsidRPr="00220DB9">
        <w:rPr>
          <w:rFonts w:ascii="GHEA Grapalat" w:eastAsia="Times New Roman" w:hAnsi="GHEA Grapalat" w:cs="Times New Roman"/>
          <w:b/>
          <w:noProof/>
          <w:color w:val="auto"/>
          <w:lang w:val="de-AT"/>
        </w:rPr>
        <w:t>ական դասակարգման)</w:t>
      </w:r>
      <w:r w:rsidRPr="00220DB9">
        <w:rPr>
          <w:rFonts w:ascii="GHEA Grapalat" w:eastAsia="Times New Roman" w:hAnsi="GHEA Grapalat" w:cs="Times New Roman"/>
          <w:b/>
          <w:noProof/>
          <w:color w:val="auto"/>
          <w:vertAlign w:val="superscript"/>
          <w:lang w:val="de-AT"/>
        </w:rPr>
        <w:footnoteReference w:id="1"/>
      </w:r>
    </w:p>
    <w:p w:rsidR="00EF207A" w:rsidRDefault="00DB7B00" w:rsidP="000365D4">
      <w:pPr>
        <w:pStyle w:val="ListParagraph"/>
        <w:spacing w:line="276" w:lineRule="auto"/>
        <w:ind w:left="0" w:firstLine="567"/>
        <w:jc w:val="both"/>
        <w:rPr>
          <w:rFonts w:ascii="GHEA Grapalat" w:hAnsi="GHEA Grapalat" w:cstheme="minorBidi"/>
          <w:noProof/>
          <w:sz w:val="22"/>
          <w:szCs w:val="22"/>
          <w:lang w:val="hy-AM"/>
        </w:rPr>
      </w:pPr>
      <w:bookmarkStart w:id="1" w:name="_Toc386537635"/>
      <w:bookmarkStart w:id="2" w:name="_Toc417292099"/>
      <w:bookmarkStart w:id="3" w:name="_Toc448908378"/>
      <w:bookmarkStart w:id="4" w:name="_Toc448912555"/>
      <w:bookmarkStart w:id="5" w:name="_Toc448913284"/>
      <w:bookmarkStart w:id="6" w:name="_Toc511744972"/>
      <w:bookmarkStart w:id="7" w:name="_Toc6389331"/>
      <w:bookmarkStart w:id="8" w:name="_Toc385937087"/>
      <w:r>
        <w:rPr>
          <w:rFonts w:ascii="GHEA Grapalat" w:hAnsi="GHEA Grapalat" w:cstheme="minorBidi"/>
          <w:noProof/>
          <w:sz w:val="22"/>
          <w:szCs w:val="22"/>
          <w:lang w:val="hy-AM"/>
        </w:rPr>
        <w:t>ՀՀ 2024թ. պետական բյուջեի</w:t>
      </w:r>
      <w:r>
        <w:rPr>
          <w:rFonts w:ascii="GHEA Grapalat" w:hAnsi="GHEA Grapalat" w:cstheme="minorBidi"/>
          <w:noProof/>
          <w:sz w:val="22"/>
          <w:szCs w:val="22"/>
        </w:rPr>
        <w:t xml:space="preserve"> </w:t>
      </w:r>
      <w:r w:rsidR="00EE0A64">
        <w:rPr>
          <w:rFonts w:ascii="GHEA Grapalat" w:hAnsi="GHEA Grapalat" w:cstheme="minorBidi"/>
          <w:noProof/>
          <w:sz w:val="22"/>
          <w:szCs w:val="22"/>
          <w:lang w:val="hy-AM"/>
        </w:rPr>
        <w:t>մասին օրենքով</w:t>
      </w:r>
      <w:r w:rsidR="002B3C4A" w:rsidRPr="00EC4D83">
        <w:rPr>
          <w:rFonts w:ascii="GHEA Grapalat" w:hAnsi="GHEA Grapalat" w:cstheme="minorBidi"/>
          <w:noProof/>
          <w:sz w:val="22"/>
          <w:szCs w:val="22"/>
        </w:rPr>
        <w:t xml:space="preserve"> (</w:t>
      </w:r>
      <w:r w:rsidR="002B3C4A">
        <w:rPr>
          <w:rFonts w:ascii="GHEA Grapalat" w:hAnsi="GHEA Grapalat" w:cstheme="minorBidi"/>
          <w:noProof/>
          <w:sz w:val="22"/>
          <w:szCs w:val="22"/>
          <w:lang w:val="hy-AM"/>
        </w:rPr>
        <w:t>այսուհետ՝ Օրենք)</w:t>
      </w:r>
      <w:r w:rsidR="00EE0A64">
        <w:rPr>
          <w:rFonts w:ascii="GHEA Grapalat" w:hAnsi="GHEA Grapalat" w:cstheme="minorBidi"/>
          <w:noProof/>
          <w:sz w:val="22"/>
          <w:szCs w:val="22"/>
          <w:lang w:val="hy-AM"/>
        </w:rPr>
        <w:t xml:space="preserve">  հաստատվել </w:t>
      </w:r>
      <w:r w:rsidR="004E3CA6">
        <w:rPr>
          <w:rFonts w:ascii="GHEA Grapalat" w:hAnsi="GHEA Grapalat" w:cstheme="minorBidi"/>
          <w:noProof/>
          <w:sz w:val="22"/>
          <w:szCs w:val="22"/>
        </w:rPr>
        <w:t>են</w:t>
      </w:r>
      <w:r w:rsidR="00EE0A64">
        <w:rPr>
          <w:rFonts w:ascii="GHEA Grapalat" w:hAnsi="GHEA Grapalat" w:cstheme="minorBidi"/>
          <w:noProof/>
          <w:sz w:val="22"/>
          <w:szCs w:val="22"/>
          <w:lang w:val="hy-AM"/>
        </w:rPr>
        <w:t xml:space="preserve"> 3,207 մլրդ դրամ</w:t>
      </w:r>
      <w:r w:rsidR="00DF4094">
        <w:rPr>
          <w:rFonts w:ascii="GHEA Grapalat" w:hAnsi="GHEA Grapalat" w:cstheme="minorBidi"/>
          <w:noProof/>
          <w:sz w:val="22"/>
          <w:szCs w:val="22"/>
          <w:lang w:val="hy-AM"/>
        </w:rPr>
        <w:t>ի</w:t>
      </w:r>
      <w:r w:rsidR="00EE0A64">
        <w:rPr>
          <w:rFonts w:ascii="GHEA Grapalat" w:hAnsi="GHEA Grapalat" w:cstheme="minorBidi"/>
          <w:noProof/>
          <w:sz w:val="22"/>
          <w:szCs w:val="22"/>
          <w:lang w:val="hy-AM"/>
        </w:rPr>
        <w:t xml:space="preserve"> ծախս</w:t>
      </w:r>
      <w:r w:rsidR="004E3CA6">
        <w:rPr>
          <w:rFonts w:ascii="GHEA Grapalat" w:hAnsi="GHEA Grapalat" w:cstheme="minorBidi"/>
          <w:noProof/>
          <w:sz w:val="22"/>
          <w:szCs w:val="22"/>
        </w:rPr>
        <w:t>եր</w:t>
      </w:r>
      <w:r w:rsidR="00EE0A64">
        <w:rPr>
          <w:rFonts w:ascii="GHEA Grapalat" w:hAnsi="GHEA Grapalat" w:cstheme="minorBidi"/>
          <w:noProof/>
          <w:sz w:val="22"/>
          <w:szCs w:val="22"/>
          <w:lang w:val="hy-AM"/>
        </w:rPr>
        <w:t xml:space="preserve">, որը 615.5 մլրդ դրամով ավել է նախորդ տարվա </w:t>
      </w:r>
      <w:r w:rsidR="002863FE">
        <w:rPr>
          <w:rFonts w:ascii="GHEA Grapalat" w:hAnsi="GHEA Grapalat" w:cstheme="minorBidi"/>
          <w:noProof/>
          <w:sz w:val="22"/>
          <w:szCs w:val="22"/>
          <w:lang w:val="hy-AM"/>
        </w:rPr>
        <w:t xml:space="preserve">համապատասխան </w:t>
      </w:r>
      <w:r w:rsidR="00EE0A64">
        <w:rPr>
          <w:rFonts w:ascii="GHEA Grapalat" w:hAnsi="GHEA Grapalat" w:cstheme="minorBidi"/>
          <w:noProof/>
          <w:sz w:val="22"/>
          <w:szCs w:val="22"/>
          <w:lang w:val="hy-AM"/>
        </w:rPr>
        <w:t>ցուցանիշ</w:t>
      </w:r>
      <w:r w:rsidR="00607B8C">
        <w:rPr>
          <w:rFonts w:ascii="GHEA Grapalat" w:hAnsi="GHEA Grapalat" w:cstheme="minorBidi"/>
          <w:noProof/>
          <w:sz w:val="22"/>
          <w:szCs w:val="22"/>
        </w:rPr>
        <w:t>ից</w:t>
      </w:r>
      <w:r w:rsidR="00DF4094">
        <w:rPr>
          <w:rFonts w:ascii="GHEA Grapalat" w:hAnsi="GHEA Grapalat" w:cstheme="minorBidi"/>
          <w:noProof/>
          <w:sz w:val="22"/>
          <w:szCs w:val="22"/>
          <w:lang w:val="hy-AM"/>
        </w:rPr>
        <w:t>:</w:t>
      </w:r>
      <w:r w:rsidR="00026CD7">
        <w:rPr>
          <w:rFonts w:ascii="GHEA Grapalat" w:hAnsi="GHEA Grapalat" w:cstheme="minorBidi"/>
          <w:noProof/>
          <w:sz w:val="22"/>
          <w:szCs w:val="22"/>
          <w:lang w:val="hy-AM"/>
        </w:rPr>
        <w:t xml:space="preserve"> </w:t>
      </w:r>
      <w:r w:rsidR="00DF4094">
        <w:rPr>
          <w:rFonts w:ascii="GHEA Grapalat" w:hAnsi="GHEA Grapalat" w:cstheme="minorBidi"/>
          <w:noProof/>
          <w:sz w:val="22"/>
          <w:szCs w:val="22"/>
          <w:lang w:val="hy-AM"/>
        </w:rPr>
        <w:t>Այն</w:t>
      </w:r>
      <w:r w:rsidR="00026CD7">
        <w:rPr>
          <w:rFonts w:ascii="GHEA Grapalat" w:hAnsi="GHEA Grapalat" w:cstheme="minorBidi"/>
          <w:noProof/>
          <w:sz w:val="22"/>
          <w:szCs w:val="22"/>
          <w:lang w:val="hy-AM"/>
        </w:rPr>
        <w:t xml:space="preserve"> հիմնականում ուղղվել է</w:t>
      </w:r>
      <w:r w:rsidR="002D02FA">
        <w:rPr>
          <w:rFonts w:ascii="GHEA Grapalat" w:hAnsi="GHEA Grapalat" w:cstheme="minorBidi"/>
          <w:noProof/>
          <w:sz w:val="22"/>
          <w:szCs w:val="22"/>
        </w:rPr>
        <w:t xml:space="preserve"> </w:t>
      </w:r>
      <w:r w:rsidR="00026CD7" w:rsidRPr="003D37DE">
        <w:rPr>
          <w:rFonts w:ascii="GHEA Grapalat" w:hAnsi="GHEA Grapalat" w:cstheme="minorBidi"/>
          <w:noProof/>
          <w:sz w:val="22"/>
          <w:szCs w:val="22"/>
          <w:lang w:val="hy-AM"/>
        </w:rPr>
        <w:t>սոցիալական պաշտպանության</w:t>
      </w:r>
      <w:r w:rsidR="002D02FA">
        <w:rPr>
          <w:rFonts w:ascii="GHEA Grapalat" w:hAnsi="GHEA Grapalat" w:cstheme="minorBidi"/>
          <w:noProof/>
          <w:sz w:val="22"/>
          <w:szCs w:val="22"/>
        </w:rPr>
        <w:t xml:space="preserve"> </w:t>
      </w:r>
      <w:r w:rsidR="002D02FA">
        <w:rPr>
          <w:rFonts w:ascii="GHEA Grapalat" w:hAnsi="GHEA Grapalat" w:cstheme="minorBidi"/>
          <w:noProof/>
          <w:sz w:val="22"/>
          <w:szCs w:val="22"/>
          <w:lang w:val="hy-AM"/>
        </w:rPr>
        <w:t xml:space="preserve">ու </w:t>
      </w:r>
      <w:r w:rsidR="00026CD7" w:rsidRPr="003D37DE">
        <w:rPr>
          <w:rFonts w:ascii="GHEA Grapalat" w:hAnsi="GHEA Grapalat" w:cstheme="minorBidi"/>
          <w:noProof/>
          <w:sz w:val="22"/>
          <w:szCs w:val="22"/>
          <w:lang w:val="hy-AM"/>
        </w:rPr>
        <w:t>կրթության</w:t>
      </w:r>
      <w:r w:rsidR="00EE0A64">
        <w:rPr>
          <w:rFonts w:ascii="GHEA Grapalat" w:hAnsi="GHEA Grapalat" w:cstheme="minorBidi"/>
          <w:noProof/>
          <w:sz w:val="22"/>
          <w:szCs w:val="22"/>
          <w:lang w:val="hy-AM"/>
        </w:rPr>
        <w:t xml:space="preserve"> </w:t>
      </w:r>
      <w:r w:rsidR="002D02FA">
        <w:rPr>
          <w:rFonts w:ascii="GHEA Grapalat" w:hAnsi="GHEA Grapalat" w:cstheme="minorBidi"/>
          <w:noProof/>
          <w:sz w:val="22"/>
          <w:szCs w:val="22"/>
          <w:lang w:val="hy-AM"/>
        </w:rPr>
        <w:t xml:space="preserve">ոլորտներին </w:t>
      </w:r>
      <w:r w:rsidR="00026CD7">
        <w:rPr>
          <w:rFonts w:ascii="GHEA Grapalat" w:hAnsi="GHEA Grapalat" w:cstheme="minorBidi"/>
          <w:noProof/>
          <w:sz w:val="22"/>
          <w:szCs w:val="22"/>
          <w:lang w:val="hy-AM"/>
        </w:rPr>
        <w:t xml:space="preserve">և հիմնական բաժիններին չդասվող պահուստային ֆոնդին: </w:t>
      </w:r>
      <w:r w:rsidR="00607B8C">
        <w:rPr>
          <w:rFonts w:ascii="GHEA Grapalat" w:hAnsi="GHEA Grapalat" w:cstheme="minorBidi"/>
          <w:noProof/>
          <w:sz w:val="22"/>
          <w:szCs w:val="22"/>
        </w:rPr>
        <w:t xml:space="preserve">Ընդ որում, </w:t>
      </w:r>
      <w:r w:rsidR="00026CD7">
        <w:rPr>
          <w:rFonts w:ascii="GHEA Grapalat" w:hAnsi="GHEA Grapalat" w:cstheme="minorBidi"/>
          <w:noProof/>
          <w:sz w:val="22"/>
          <w:szCs w:val="22"/>
          <w:lang w:val="hy-AM"/>
        </w:rPr>
        <w:t xml:space="preserve">Օրենքով հաստատված և </w:t>
      </w:r>
      <w:r w:rsidR="00EF207A">
        <w:rPr>
          <w:rFonts w:ascii="GHEA Grapalat" w:hAnsi="GHEA Grapalat" w:cstheme="minorBidi"/>
          <w:noProof/>
          <w:sz w:val="22"/>
          <w:szCs w:val="22"/>
          <w:lang w:val="hy-AM"/>
        </w:rPr>
        <w:t>ՀՀ կառավարությանը տրված լիազորությունների շրջանակներում կատարված  փոփոխությունների արդյունքում ձևավորված 154.1</w:t>
      </w:r>
      <w:r w:rsidR="00EC4D83">
        <w:rPr>
          <w:rFonts w:ascii="Calibri" w:hAnsi="Calibri" w:cs="Calibri"/>
          <w:noProof/>
          <w:sz w:val="22"/>
          <w:szCs w:val="22"/>
        </w:rPr>
        <w:t> </w:t>
      </w:r>
      <w:r w:rsidR="00EF207A">
        <w:rPr>
          <w:rFonts w:ascii="GHEA Grapalat" w:hAnsi="GHEA Grapalat" w:cstheme="minorBidi"/>
          <w:noProof/>
          <w:sz w:val="22"/>
          <w:szCs w:val="22"/>
          <w:lang w:val="hy-AM"/>
        </w:rPr>
        <w:t xml:space="preserve">մլրդ </w:t>
      </w:r>
      <w:r w:rsidR="004B4633">
        <w:rPr>
          <w:rFonts w:ascii="GHEA Grapalat" w:hAnsi="GHEA Grapalat" w:cstheme="minorBidi"/>
          <w:noProof/>
          <w:sz w:val="22"/>
          <w:szCs w:val="22"/>
          <w:lang w:val="hy-AM"/>
        </w:rPr>
        <w:t xml:space="preserve">դրամ </w:t>
      </w:r>
      <w:r w:rsidR="00EF207A">
        <w:rPr>
          <w:rFonts w:ascii="GHEA Grapalat" w:hAnsi="GHEA Grapalat" w:cstheme="minorBidi"/>
          <w:noProof/>
          <w:sz w:val="22"/>
          <w:szCs w:val="22"/>
          <w:lang w:val="hy-AM"/>
        </w:rPr>
        <w:t xml:space="preserve">պահուստային ֆոնդն ամբողջությամբ վերաբաշխվել է </w:t>
      </w:r>
      <w:r w:rsidR="00EC4D83">
        <w:rPr>
          <w:rFonts w:ascii="GHEA Grapalat" w:hAnsi="GHEA Grapalat" w:cstheme="minorBidi"/>
          <w:noProof/>
          <w:sz w:val="22"/>
          <w:szCs w:val="22"/>
        </w:rPr>
        <w:t>տարբեր ոլորտներին</w:t>
      </w:r>
      <w:r w:rsidR="00EF207A">
        <w:rPr>
          <w:rFonts w:ascii="GHEA Grapalat" w:hAnsi="GHEA Grapalat" w:cstheme="minorBidi"/>
          <w:noProof/>
          <w:sz w:val="22"/>
          <w:szCs w:val="22"/>
          <w:lang w:val="hy-AM"/>
        </w:rPr>
        <w:t>:</w:t>
      </w:r>
    </w:p>
    <w:p w:rsidR="004B7CC2" w:rsidRPr="00EC4D83" w:rsidRDefault="00AC5E43" w:rsidP="000365D4">
      <w:pPr>
        <w:pStyle w:val="ListParagraph"/>
        <w:spacing w:line="276" w:lineRule="auto"/>
        <w:ind w:left="0" w:firstLine="567"/>
        <w:jc w:val="both"/>
        <w:rPr>
          <w:rFonts w:ascii="GHEA Grapalat" w:hAnsi="GHEA Grapalat" w:cstheme="minorBidi"/>
          <w:noProof/>
          <w:sz w:val="22"/>
          <w:szCs w:val="22"/>
          <w:lang w:val="hy-AM"/>
        </w:rPr>
      </w:pPr>
      <w:r>
        <w:rPr>
          <w:rFonts w:ascii="GHEA Grapalat" w:hAnsi="GHEA Grapalat" w:cstheme="minorBidi"/>
          <w:noProof/>
          <w:sz w:val="22"/>
          <w:szCs w:val="22"/>
          <w:lang w:val="hy-AM"/>
        </w:rPr>
        <w:t>ՀՀ 2024թ. պետական բյուջեի</w:t>
      </w:r>
      <w:r w:rsidRPr="002863FE">
        <w:rPr>
          <w:rFonts w:ascii="GHEA Grapalat" w:hAnsi="GHEA Grapalat" w:cstheme="minorBidi"/>
          <w:noProof/>
          <w:sz w:val="22"/>
          <w:szCs w:val="22"/>
          <w:lang w:val="hy-AM"/>
        </w:rPr>
        <w:t xml:space="preserve"> ծախսերի՝ </w:t>
      </w:r>
      <w:r w:rsidR="00EF207A">
        <w:rPr>
          <w:rFonts w:ascii="GHEA Grapalat" w:hAnsi="GHEA Grapalat" w:cstheme="minorBidi"/>
          <w:noProof/>
          <w:sz w:val="22"/>
          <w:szCs w:val="22"/>
          <w:lang w:val="hy-AM"/>
        </w:rPr>
        <w:t>Օրենքով հաստատված</w:t>
      </w:r>
      <w:r w:rsidRPr="002863FE">
        <w:rPr>
          <w:rFonts w:ascii="GHEA Grapalat" w:hAnsi="GHEA Grapalat" w:cstheme="minorBidi"/>
          <w:noProof/>
          <w:sz w:val="22"/>
          <w:szCs w:val="22"/>
          <w:lang w:val="hy-AM"/>
        </w:rPr>
        <w:t xml:space="preserve"> ծրագրով</w:t>
      </w:r>
      <w:r w:rsidR="00EF207A">
        <w:rPr>
          <w:rFonts w:ascii="GHEA Grapalat" w:hAnsi="GHEA Grapalat" w:cstheme="minorBidi"/>
          <w:noProof/>
          <w:sz w:val="22"/>
          <w:szCs w:val="22"/>
          <w:lang w:val="hy-AM"/>
        </w:rPr>
        <w:t xml:space="preserve"> և ՀՀ կառավարության լիազորությունների շրջանակում </w:t>
      </w:r>
      <w:r w:rsidR="006A71A1" w:rsidRPr="002863FE">
        <w:rPr>
          <w:rFonts w:ascii="GHEA Grapalat" w:hAnsi="GHEA Grapalat" w:cstheme="minorBidi"/>
          <w:noProof/>
          <w:sz w:val="22"/>
          <w:szCs w:val="22"/>
          <w:lang w:val="hy-AM"/>
        </w:rPr>
        <w:t xml:space="preserve">ճշտված ծրագրով ծախսերի զգալի մասն ուղղվել է 3  </w:t>
      </w:r>
      <w:r w:rsidRPr="002863FE">
        <w:rPr>
          <w:rFonts w:ascii="GHEA Grapalat" w:hAnsi="GHEA Grapalat" w:cstheme="minorBidi"/>
          <w:noProof/>
          <w:sz w:val="22"/>
          <w:szCs w:val="22"/>
          <w:lang w:val="hy-AM"/>
        </w:rPr>
        <w:t xml:space="preserve">ոլորտների՝ </w:t>
      </w:r>
      <w:r w:rsidRPr="00EC4D83">
        <w:rPr>
          <w:rFonts w:ascii="GHEA Grapalat" w:hAnsi="GHEA Grapalat" w:cstheme="minorBidi"/>
          <w:noProof/>
          <w:sz w:val="22"/>
          <w:szCs w:val="22"/>
          <w:lang w:val="hy-AM"/>
        </w:rPr>
        <w:t>սոցիալական պաշտպանությանը, ընդհանուր բնույթի հանրային ծառայություններին և պաշտպանությանը</w:t>
      </w:r>
      <w:r w:rsidRPr="002863FE">
        <w:rPr>
          <w:rFonts w:ascii="GHEA Grapalat" w:hAnsi="GHEA Grapalat" w:cstheme="minorBidi"/>
          <w:noProof/>
          <w:sz w:val="22"/>
          <w:szCs w:val="22"/>
          <w:lang w:val="hy-AM"/>
        </w:rPr>
        <w:t xml:space="preserve">: </w:t>
      </w:r>
      <w:r w:rsidR="00CD501E" w:rsidRPr="002863FE">
        <w:rPr>
          <w:rFonts w:ascii="GHEA Grapalat" w:hAnsi="GHEA Grapalat" w:cstheme="minorBidi"/>
          <w:noProof/>
          <w:sz w:val="22"/>
          <w:szCs w:val="22"/>
          <w:lang w:val="hy-AM"/>
        </w:rPr>
        <w:t>Դրան</w:t>
      </w:r>
      <w:r w:rsidRPr="002863FE">
        <w:rPr>
          <w:rFonts w:ascii="GHEA Grapalat" w:hAnsi="GHEA Grapalat" w:cstheme="minorBidi"/>
          <w:noProof/>
          <w:sz w:val="22"/>
          <w:szCs w:val="22"/>
          <w:lang w:val="hy-AM"/>
        </w:rPr>
        <w:t>ից ելնելով՝</w:t>
      </w:r>
      <w:r w:rsidR="00454F56">
        <w:rPr>
          <w:rFonts w:ascii="GHEA Grapalat" w:hAnsi="GHEA Grapalat" w:cstheme="minorBidi"/>
          <w:noProof/>
          <w:sz w:val="22"/>
          <w:szCs w:val="22"/>
          <w:lang w:val="hy-AM"/>
        </w:rPr>
        <w:t xml:space="preserve"> </w:t>
      </w:r>
      <w:r w:rsidR="00EE0A64">
        <w:rPr>
          <w:rFonts w:ascii="GHEA Grapalat" w:hAnsi="GHEA Grapalat" w:cstheme="minorBidi"/>
          <w:noProof/>
          <w:sz w:val="22"/>
          <w:szCs w:val="22"/>
          <w:lang w:val="hy-AM"/>
        </w:rPr>
        <w:t xml:space="preserve">փաստացի </w:t>
      </w:r>
      <w:r w:rsidR="00164979" w:rsidRPr="00EC4D83">
        <w:rPr>
          <w:rFonts w:ascii="GHEA Grapalat" w:hAnsi="GHEA Grapalat" w:cstheme="minorBidi"/>
          <w:noProof/>
          <w:sz w:val="22"/>
          <w:szCs w:val="22"/>
          <w:lang w:val="hy-AM"/>
        </w:rPr>
        <w:t>ծախսեր</w:t>
      </w:r>
      <w:r w:rsidR="0006234A" w:rsidRPr="00EC4D83">
        <w:rPr>
          <w:rFonts w:ascii="GHEA Grapalat" w:hAnsi="GHEA Grapalat" w:cstheme="minorBidi"/>
          <w:noProof/>
          <w:sz w:val="22"/>
          <w:szCs w:val="22"/>
          <w:lang w:val="hy-AM"/>
        </w:rPr>
        <w:t>ի</w:t>
      </w:r>
      <w:r w:rsidR="00D36FF4" w:rsidRPr="00EC4D83">
        <w:rPr>
          <w:rFonts w:ascii="GHEA Grapalat" w:hAnsi="GHEA Grapalat" w:cstheme="minorBidi"/>
          <w:noProof/>
          <w:sz w:val="22"/>
          <w:szCs w:val="22"/>
          <w:lang w:val="hy-AM"/>
        </w:rPr>
        <w:t xml:space="preserve"> </w:t>
      </w:r>
      <w:r w:rsidR="00F86B1F" w:rsidRPr="00EC4D83">
        <w:rPr>
          <w:rFonts w:ascii="GHEA Grapalat" w:hAnsi="GHEA Grapalat" w:cstheme="minorBidi"/>
          <w:noProof/>
          <w:sz w:val="22"/>
          <w:szCs w:val="22"/>
          <w:lang w:val="hy-AM"/>
        </w:rPr>
        <w:t>70</w:t>
      </w:r>
      <w:r w:rsidR="00AB53DC" w:rsidRPr="00EC4D83">
        <w:rPr>
          <w:rFonts w:ascii="GHEA Grapalat" w:hAnsi="GHEA Grapalat" w:cstheme="minorBidi"/>
          <w:noProof/>
          <w:sz w:val="22"/>
          <w:szCs w:val="22"/>
          <w:lang w:val="hy-AM"/>
        </w:rPr>
        <w:t>.1</w:t>
      </w:r>
      <w:r w:rsidR="00F86B1F" w:rsidRPr="00EC4D83">
        <w:rPr>
          <w:rFonts w:ascii="GHEA Grapalat" w:hAnsi="GHEA Grapalat" w:cstheme="minorBidi"/>
          <w:noProof/>
          <w:sz w:val="22"/>
          <w:szCs w:val="22"/>
          <w:lang w:val="hy-AM"/>
        </w:rPr>
        <w:t>%</w:t>
      </w:r>
      <w:r w:rsidR="002D6BBE" w:rsidRPr="00EC4D83">
        <w:rPr>
          <w:rFonts w:ascii="GHEA Grapalat" w:hAnsi="GHEA Grapalat" w:cstheme="minorBidi"/>
          <w:noProof/>
          <w:sz w:val="22"/>
          <w:szCs w:val="22"/>
          <w:lang w:val="hy-AM"/>
        </w:rPr>
        <w:t>-</w:t>
      </w:r>
      <w:r w:rsidR="002D6BBE">
        <w:rPr>
          <w:rFonts w:ascii="GHEA Grapalat" w:hAnsi="GHEA Grapalat" w:cstheme="minorBidi"/>
          <w:noProof/>
          <w:sz w:val="22"/>
          <w:szCs w:val="22"/>
          <w:lang w:val="hy-AM"/>
        </w:rPr>
        <w:t>ը</w:t>
      </w:r>
      <w:r w:rsidR="00D36FF4" w:rsidRPr="00EC4D83">
        <w:rPr>
          <w:rFonts w:ascii="GHEA Grapalat" w:hAnsi="GHEA Grapalat" w:cstheme="minorBidi"/>
          <w:noProof/>
          <w:sz w:val="22"/>
          <w:szCs w:val="22"/>
          <w:lang w:val="hy-AM"/>
        </w:rPr>
        <w:t xml:space="preserve"> </w:t>
      </w:r>
      <w:r w:rsidR="00CD501E" w:rsidRPr="002863FE">
        <w:rPr>
          <w:rFonts w:ascii="GHEA Grapalat" w:hAnsi="GHEA Grapalat" w:cstheme="minorBidi"/>
          <w:noProof/>
          <w:sz w:val="22"/>
          <w:szCs w:val="22"/>
          <w:lang w:val="hy-AM"/>
        </w:rPr>
        <w:t>բաշխվել է նշված</w:t>
      </w:r>
      <w:r w:rsidR="0006234A" w:rsidRPr="00EC4D83">
        <w:rPr>
          <w:rFonts w:ascii="GHEA Grapalat" w:hAnsi="GHEA Grapalat" w:cstheme="minorBidi"/>
          <w:noProof/>
          <w:sz w:val="22"/>
          <w:szCs w:val="22"/>
          <w:lang w:val="hy-AM"/>
        </w:rPr>
        <w:t xml:space="preserve"> 3 ոլորտներին</w:t>
      </w:r>
      <w:r w:rsidR="002D02FA" w:rsidRPr="00EC4D83">
        <w:rPr>
          <w:rFonts w:ascii="GHEA Grapalat" w:hAnsi="GHEA Grapalat" w:cstheme="minorBidi"/>
          <w:noProof/>
          <w:sz w:val="22"/>
          <w:szCs w:val="22"/>
          <w:lang w:val="hy-AM"/>
        </w:rPr>
        <w:t xml:space="preserve"> </w:t>
      </w:r>
      <w:r w:rsidR="002D02FA">
        <w:rPr>
          <w:rFonts w:ascii="GHEA Grapalat" w:hAnsi="GHEA Grapalat" w:cstheme="minorBidi"/>
          <w:noProof/>
          <w:sz w:val="22"/>
          <w:szCs w:val="22"/>
          <w:lang w:val="hy-AM"/>
        </w:rPr>
        <w:t>(գործառական դասակարգման բաժինների</w:t>
      </w:r>
      <w:r w:rsidR="00456DAE" w:rsidRPr="002863FE">
        <w:rPr>
          <w:rFonts w:ascii="GHEA Grapalat" w:hAnsi="GHEA Grapalat" w:cstheme="minorBidi"/>
          <w:noProof/>
          <w:sz w:val="22"/>
          <w:szCs w:val="22"/>
          <w:lang w:val="hy-AM"/>
        </w:rPr>
        <w:t>ն</w:t>
      </w:r>
      <w:r w:rsidR="002D02FA">
        <w:rPr>
          <w:rFonts w:ascii="GHEA Grapalat" w:hAnsi="GHEA Grapalat" w:cstheme="minorBidi"/>
          <w:noProof/>
          <w:sz w:val="22"/>
          <w:szCs w:val="22"/>
          <w:lang w:val="hy-AM"/>
        </w:rPr>
        <w:t>)</w:t>
      </w:r>
      <w:r w:rsidR="0006234A" w:rsidRPr="00EC4D83">
        <w:rPr>
          <w:rFonts w:ascii="GHEA Grapalat" w:hAnsi="GHEA Grapalat" w:cstheme="minorBidi"/>
          <w:noProof/>
          <w:sz w:val="22"/>
          <w:szCs w:val="22"/>
          <w:lang w:val="hy-AM"/>
        </w:rPr>
        <w:t>՝ սոցիալական պաշտպանությանը՝ 28.8% (851.9 մլրդ դրամ), ընդհանուր բնույթի հանրային ծառայություններին՝ 22.7% (671</w:t>
      </w:r>
      <w:r w:rsidR="00AB53DC">
        <w:rPr>
          <w:rFonts w:ascii="GHEA Grapalat" w:hAnsi="GHEA Grapalat" w:cstheme="minorBidi"/>
          <w:noProof/>
          <w:sz w:val="22"/>
          <w:szCs w:val="22"/>
          <w:lang w:val="hy-AM"/>
        </w:rPr>
        <w:t>.</w:t>
      </w:r>
      <w:r w:rsidR="0006234A" w:rsidRPr="00EC4D83">
        <w:rPr>
          <w:rFonts w:ascii="GHEA Grapalat" w:hAnsi="GHEA Grapalat" w:cstheme="minorBidi"/>
          <w:noProof/>
          <w:sz w:val="22"/>
          <w:szCs w:val="22"/>
          <w:lang w:val="hy-AM"/>
        </w:rPr>
        <w:t>3 մլր</w:t>
      </w:r>
      <w:r w:rsidR="00F86B1F" w:rsidRPr="00EC4D83">
        <w:rPr>
          <w:rFonts w:ascii="GHEA Grapalat" w:hAnsi="GHEA Grapalat" w:cstheme="minorBidi"/>
          <w:noProof/>
          <w:sz w:val="22"/>
          <w:szCs w:val="22"/>
          <w:lang w:val="hy-AM"/>
        </w:rPr>
        <w:t>դ</w:t>
      </w:r>
      <w:r w:rsidR="0006234A" w:rsidRPr="00EC4D83">
        <w:rPr>
          <w:rFonts w:ascii="GHEA Grapalat" w:hAnsi="GHEA Grapalat" w:cstheme="minorBidi"/>
          <w:noProof/>
          <w:sz w:val="22"/>
          <w:szCs w:val="22"/>
          <w:lang w:val="hy-AM"/>
        </w:rPr>
        <w:t xml:space="preserve"> դրամ) և </w:t>
      </w:r>
      <w:r w:rsidR="00F86B1F" w:rsidRPr="00EC4D83">
        <w:rPr>
          <w:rFonts w:ascii="GHEA Grapalat" w:hAnsi="GHEA Grapalat" w:cstheme="minorBidi"/>
          <w:noProof/>
          <w:sz w:val="22"/>
          <w:szCs w:val="22"/>
          <w:lang w:val="hy-AM"/>
        </w:rPr>
        <w:t>պաշտպանությանը՝ 18.6% (549 մլրդ դրամ):</w:t>
      </w:r>
      <w:r w:rsidR="009E677D" w:rsidRPr="00EC4D83">
        <w:rPr>
          <w:rFonts w:ascii="GHEA Grapalat" w:hAnsi="GHEA Grapalat" w:cstheme="minorBidi"/>
          <w:noProof/>
          <w:sz w:val="22"/>
          <w:szCs w:val="22"/>
          <w:lang w:val="hy-AM"/>
        </w:rPr>
        <w:t xml:space="preserve"> </w:t>
      </w:r>
    </w:p>
    <w:p w:rsidR="006B1BAB" w:rsidRDefault="009E677D" w:rsidP="00AD6FA4">
      <w:pPr>
        <w:pStyle w:val="ListParagraph"/>
        <w:spacing w:line="276" w:lineRule="auto"/>
        <w:ind w:left="0" w:firstLine="567"/>
        <w:jc w:val="both"/>
        <w:rPr>
          <w:rFonts w:ascii="GHEA Grapalat" w:hAnsi="GHEA Grapalat" w:cstheme="minorBidi"/>
          <w:noProof/>
          <w:sz w:val="22"/>
          <w:szCs w:val="22"/>
          <w:lang w:val="hy-AM"/>
        </w:rPr>
      </w:pPr>
      <w:r w:rsidRPr="00A06B00">
        <w:rPr>
          <w:rFonts w:ascii="GHEA Grapalat" w:hAnsi="GHEA Grapalat" w:cstheme="minorBidi"/>
          <w:noProof/>
          <w:sz w:val="22"/>
          <w:szCs w:val="22"/>
          <w:lang w:val="hy-AM"/>
        </w:rPr>
        <w:t xml:space="preserve">Նախորդ տարվա համեմատ </w:t>
      </w:r>
      <w:r w:rsidR="002C56A3" w:rsidRPr="00A06B00">
        <w:rPr>
          <w:rFonts w:ascii="GHEA Grapalat" w:hAnsi="GHEA Grapalat" w:cstheme="minorBidi"/>
          <w:noProof/>
          <w:sz w:val="22"/>
          <w:szCs w:val="22"/>
          <w:lang w:val="hy-AM"/>
        </w:rPr>
        <w:t xml:space="preserve">պետական բյուջեի </w:t>
      </w:r>
      <w:r w:rsidR="00EE0A64">
        <w:rPr>
          <w:rFonts w:ascii="GHEA Grapalat" w:hAnsi="GHEA Grapalat" w:cstheme="minorBidi"/>
          <w:noProof/>
          <w:sz w:val="22"/>
          <w:szCs w:val="22"/>
          <w:lang w:val="hy-AM"/>
        </w:rPr>
        <w:t xml:space="preserve">փաստացի </w:t>
      </w:r>
      <w:r w:rsidR="002C56A3" w:rsidRPr="00A06B00">
        <w:rPr>
          <w:rFonts w:ascii="GHEA Grapalat" w:hAnsi="GHEA Grapalat" w:cstheme="minorBidi"/>
          <w:noProof/>
          <w:sz w:val="22"/>
          <w:szCs w:val="22"/>
          <w:lang w:val="hy-AM"/>
        </w:rPr>
        <w:t xml:space="preserve">ծախսերում </w:t>
      </w:r>
      <w:r w:rsidR="00BD07C3" w:rsidRPr="00A06B00">
        <w:rPr>
          <w:rFonts w:ascii="GHEA Grapalat" w:hAnsi="GHEA Grapalat" w:cstheme="minorBidi"/>
          <w:noProof/>
          <w:sz w:val="22"/>
          <w:szCs w:val="22"/>
          <w:lang w:val="hy-AM"/>
        </w:rPr>
        <w:t>հիմ</w:t>
      </w:r>
      <w:r w:rsidR="00A14BFA" w:rsidRPr="00AE6E81">
        <w:rPr>
          <w:rFonts w:ascii="GHEA Grapalat" w:hAnsi="GHEA Grapalat" w:cstheme="minorBidi"/>
          <w:noProof/>
          <w:sz w:val="22"/>
          <w:szCs w:val="22"/>
          <w:lang w:val="hy-AM"/>
        </w:rPr>
        <w:t>ն</w:t>
      </w:r>
      <w:r w:rsidR="00BD07C3" w:rsidRPr="00A06B00">
        <w:rPr>
          <w:rFonts w:ascii="GHEA Grapalat" w:hAnsi="GHEA Grapalat" w:cstheme="minorBidi"/>
          <w:noProof/>
          <w:sz w:val="22"/>
          <w:szCs w:val="22"/>
          <w:lang w:val="hy-AM"/>
        </w:rPr>
        <w:t>ականում ավելացել է սոցիալական պաշտպանության և կրթության ոլորտների մասնաբաժինը և նվազել՝</w:t>
      </w:r>
      <w:r w:rsidR="009B15E1" w:rsidRPr="00A06B00">
        <w:rPr>
          <w:rFonts w:ascii="GHEA Grapalat" w:hAnsi="GHEA Grapalat" w:cstheme="minorBidi"/>
          <w:noProof/>
          <w:sz w:val="22"/>
          <w:szCs w:val="22"/>
          <w:lang w:val="hy-AM"/>
        </w:rPr>
        <w:t xml:space="preserve"> պաշտպանության և տնտեսական հարաբերությունների </w:t>
      </w:r>
      <w:r w:rsidR="006B1BAB">
        <w:rPr>
          <w:rFonts w:ascii="GHEA Grapalat" w:hAnsi="GHEA Grapalat" w:cstheme="minorBidi"/>
          <w:noProof/>
          <w:sz w:val="22"/>
          <w:szCs w:val="22"/>
          <w:lang w:val="hy-AM"/>
        </w:rPr>
        <w:t>մասնա</w:t>
      </w:r>
      <w:r w:rsidR="009B15E1" w:rsidRPr="00A06B00">
        <w:rPr>
          <w:rFonts w:ascii="GHEA Grapalat" w:hAnsi="GHEA Grapalat" w:cstheme="minorBidi"/>
          <w:noProof/>
          <w:sz w:val="22"/>
          <w:szCs w:val="22"/>
          <w:lang w:val="hy-AM"/>
        </w:rPr>
        <w:t>բաժինը:</w:t>
      </w:r>
      <w:r w:rsidR="00E338A9" w:rsidRPr="00A06B00">
        <w:rPr>
          <w:rFonts w:ascii="GHEA Grapalat" w:hAnsi="GHEA Grapalat" w:cstheme="minorBidi"/>
          <w:noProof/>
          <w:sz w:val="22"/>
          <w:szCs w:val="22"/>
          <w:lang w:val="hy-AM"/>
        </w:rPr>
        <w:t xml:space="preserve"> </w:t>
      </w:r>
    </w:p>
    <w:p w:rsidR="00164979" w:rsidRPr="00A06B00" w:rsidRDefault="004B7CC2" w:rsidP="00AD6FA4">
      <w:pPr>
        <w:pStyle w:val="ListParagraph"/>
        <w:spacing w:line="276" w:lineRule="auto"/>
        <w:ind w:left="0" w:firstLine="567"/>
        <w:jc w:val="both"/>
        <w:rPr>
          <w:rFonts w:ascii="GHEA Grapalat" w:hAnsi="GHEA Grapalat" w:cstheme="minorBidi"/>
          <w:noProof/>
          <w:sz w:val="22"/>
          <w:szCs w:val="22"/>
          <w:lang w:val="hy-AM"/>
        </w:rPr>
      </w:pPr>
      <w:r w:rsidRPr="00A06B00">
        <w:rPr>
          <w:rFonts w:ascii="GHEA Grapalat" w:hAnsi="GHEA Grapalat" w:cstheme="minorBidi"/>
          <w:noProof/>
          <w:sz w:val="22"/>
          <w:szCs w:val="22"/>
          <w:lang w:val="hy-AM"/>
        </w:rPr>
        <w:t>Ընդհանուր բնույթի հանրային ծառայությունների ծախսերի</w:t>
      </w:r>
      <w:r w:rsidR="00D31F63" w:rsidRPr="00A06B00">
        <w:rPr>
          <w:rFonts w:ascii="GHEA Grapalat" w:hAnsi="GHEA Grapalat" w:cstheme="minorBidi"/>
          <w:noProof/>
          <w:sz w:val="22"/>
          <w:szCs w:val="22"/>
          <w:lang w:val="hy-AM"/>
        </w:rPr>
        <w:t xml:space="preserve"> տեսակարար կշռի </w:t>
      </w:r>
      <w:r w:rsidR="003F1700">
        <w:rPr>
          <w:rFonts w:ascii="GHEA Grapalat" w:hAnsi="GHEA Grapalat" w:cstheme="minorBidi"/>
          <w:noProof/>
          <w:sz w:val="22"/>
          <w:szCs w:val="22"/>
          <w:lang w:val="hy-AM"/>
        </w:rPr>
        <w:t>2.2</w:t>
      </w:r>
      <w:r w:rsidR="003F1700" w:rsidRPr="007C31A7">
        <w:rPr>
          <w:rFonts w:ascii="GHEA Grapalat" w:hAnsi="GHEA Grapalat" w:cstheme="minorBidi"/>
          <w:noProof/>
          <w:sz w:val="22"/>
          <w:szCs w:val="22"/>
          <w:lang w:val="hy-AM"/>
        </w:rPr>
        <w:t xml:space="preserve">% </w:t>
      </w:r>
      <w:r w:rsidR="00D31F63" w:rsidRPr="00A06B00">
        <w:rPr>
          <w:rFonts w:ascii="GHEA Grapalat" w:hAnsi="GHEA Grapalat" w:cstheme="minorBidi"/>
          <w:noProof/>
          <w:sz w:val="22"/>
          <w:szCs w:val="22"/>
          <w:lang w:val="hy-AM"/>
        </w:rPr>
        <w:t>աճը հիմնականում պայմանավորված է</w:t>
      </w:r>
      <w:r w:rsidR="00DE377A" w:rsidRPr="00A06B00">
        <w:rPr>
          <w:rFonts w:ascii="GHEA Grapalat" w:hAnsi="GHEA Grapalat" w:cstheme="minorBidi"/>
          <w:noProof/>
          <w:sz w:val="22"/>
          <w:szCs w:val="22"/>
          <w:lang w:val="hy-AM"/>
        </w:rPr>
        <w:t xml:space="preserve"> 2024թ.</w:t>
      </w:r>
      <w:r w:rsidR="00D31F63" w:rsidRPr="00A06B00">
        <w:rPr>
          <w:rFonts w:ascii="GHEA Grapalat" w:hAnsi="GHEA Grapalat" w:cstheme="minorBidi"/>
          <w:noProof/>
          <w:sz w:val="22"/>
          <w:szCs w:val="22"/>
          <w:lang w:val="hy-AM"/>
        </w:rPr>
        <w:t xml:space="preserve"> </w:t>
      </w:r>
      <w:r w:rsidR="00AD6FA4" w:rsidRPr="00A06B00">
        <w:rPr>
          <w:rFonts w:ascii="GHEA Grapalat" w:hAnsi="GHEA Grapalat" w:cstheme="minorBidi"/>
          <w:noProof/>
          <w:sz w:val="22"/>
          <w:szCs w:val="22"/>
          <w:lang w:val="hy-AM"/>
        </w:rPr>
        <w:t xml:space="preserve">ծախսերում </w:t>
      </w:r>
      <w:r w:rsidR="00AD6FA4" w:rsidRPr="00D5751C">
        <w:rPr>
          <w:rFonts w:ascii="GHEA Grapalat" w:hAnsi="GHEA Grapalat" w:cstheme="minorBidi"/>
          <w:noProof/>
          <w:sz w:val="22"/>
          <w:szCs w:val="22"/>
          <w:lang w:val="hy-AM"/>
        </w:rPr>
        <w:t>հիպոտեկային վարկերի վճարված տոկոսների վերադարձված գումարների</w:t>
      </w:r>
      <w:r w:rsidR="00AD6FA4" w:rsidRPr="00A06B00">
        <w:rPr>
          <w:rFonts w:ascii="GHEA Grapalat" w:hAnsi="GHEA Grapalat" w:cstheme="minorBidi"/>
          <w:noProof/>
          <w:sz w:val="22"/>
          <w:szCs w:val="22"/>
          <w:lang w:val="hy-AM"/>
        </w:rPr>
        <w:t xml:space="preserve"> արտացոլմամբ: Նշվածը հաշվի չառնելու դեպքում </w:t>
      </w:r>
      <w:r w:rsidR="00DE377A" w:rsidRPr="00A06B00">
        <w:rPr>
          <w:rFonts w:ascii="GHEA Grapalat" w:hAnsi="GHEA Grapalat" w:cstheme="minorBidi"/>
          <w:noProof/>
          <w:sz w:val="22"/>
          <w:szCs w:val="22"/>
          <w:lang w:val="hy-AM"/>
        </w:rPr>
        <w:t>ը</w:t>
      </w:r>
      <w:r w:rsidR="00AD6FA4" w:rsidRPr="00A06B00">
        <w:rPr>
          <w:rFonts w:ascii="GHEA Grapalat" w:hAnsi="GHEA Grapalat" w:cstheme="minorBidi"/>
          <w:noProof/>
          <w:sz w:val="22"/>
          <w:szCs w:val="22"/>
          <w:lang w:val="hy-AM"/>
        </w:rPr>
        <w:t>նդհանուր բնույթի հանրային ծառայությունների ծախսերի տեսակարար կշռի աճը կ</w:t>
      </w:r>
      <w:r w:rsidR="00191883" w:rsidRPr="00A06B00">
        <w:rPr>
          <w:rFonts w:ascii="GHEA Grapalat" w:hAnsi="GHEA Grapalat" w:cstheme="minorBidi"/>
          <w:noProof/>
          <w:sz w:val="22"/>
          <w:szCs w:val="22"/>
          <w:lang w:val="hy-AM"/>
        </w:rPr>
        <w:t>կ</w:t>
      </w:r>
      <w:r w:rsidR="00AD6FA4" w:rsidRPr="00A06B00">
        <w:rPr>
          <w:rFonts w:ascii="GHEA Grapalat" w:hAnsi="GHEA Grapalat" w:cstheme="minorBidi"/>
          <w:noProof/>
          <w:sz w:val="22"/>
          <w:szCs w:val="22"/>
          <w:lang w:val="hy-AM"/>
        </w:rPr>
        <w:t>ազմ</w:t>
      </w:r>
      <w:r w:rsidR="00191883" w:rsidRPr="00A06B00">
        <w:rPr>
          <w:rFonts w:ascii="GHEA Grapalat" w:hAnsi="GHEA Grapalat" w:cstheme="minorBidi"/>
          <w:noProof/>
          <w:sz w:val="22"/>
          <w:szCs w:val="22"/>
          <w:lang w:val="hy-AM"/>
        </w:rPr>
        <w:t>ի</w:t>
      </w:r>
      <w:r w:rsidR="00AD6FA4" w:rsidRPr="00A06B00">
        <w:rPr>
          <w:rFonts w:ascii="GHEA Grapalat" w:hAnsi="GHEA Grapalat" w:cstheme="minorBidi"/>
          <w:noProof/>
          <w:sz w:val="22"/>
          <w:szCs w:val="22"/>
          <w:lang w:val="hy-AM"/>
        </w:rPr>
        <w:t xml:space="preserve"> 0.4 տոկոսային կետ:</w:t>
      </w:r>
    </w:p>
    <w:p w:rsidR="00AD6FA4" w:rsidRPr="00A06B00" w:rsidRDefault="00AD6FA4" w:rsidP="00AD6FA4">
      <w:pPr>
        <w:pStyle w:val="ListParagraph"/>
        <w:spacing w:line="276" w:lineRule="auto"/>
        <w:ind w:left="0" w:firstLine="567"/>
        <w:jc w:val="both"/>
        <w:rPr>
          <w:rFonts w:ascii="GHEA Grapalat" w:hAnsi="GHEA Grapalat" w:cstheme="minorBidi"/>
          <w:noProof/>
          <w:sz w:val="22"/>
          <w:szCs w:val="22"/>
          <w:lang w:val="hy-AM"/>
        </w:rPr>
      </w:pPr>
    </w:p>
    <w:p w:rsidR="003A21C7" w:rsidRPr="00A06B00" w:rsidRDefault="003A21C7" w:rsidP="003A21C7">
      <w:pPr>
        <w:pStyle w:val="Caption"/>
        <w:keepNext/>
        <w:tabs>
          <w:tab w:val="left" w:pos="1134"/>
        </w:tabs>
        <w:spacing w:before="0" w:after="0" w:line="276" w:lineRule="auto"/>
        <w:jc w:val="left"/>
        <w:rPr>
          <w:rFonts w:ascii="GHEA Grapalat" w:hAnsi="GHEA Grapalat"/>
          <w:sz w:val="18"/>
          <w:szCs w:val="18"/>
          <w:lang w:val="hy-AM"/>
        </w:rPr>
      </w:pPr>
      <w:r w:rsidRPr="00A06B00">
        <w:rPr>
          <w:rFonts w:ascii="GHEA Grapalat" w:hAnsi="GHEA Grapalat"/>
          <w:sz w:val="18"/>
          <w:szCs w:val="18"/>
          <w:lang w:val="hy-AM"/>
        </w:rPr>
        <w:t>Գծապատկեր 1. ՀՀ պետական բյուջեի ծախսերի կառուցվածքն ըստ գործառական դասակարգման</w:t>
      </w:r>
    </w:p>
    <w:p w:rsidR="00235466" w:rsidRPr="00A06B00" w:rsidRDefault="005262BD" w:rsidP="000E6A40">
      <w:pPr>
        <w:pStyle w:val="ListParagraph"/>
        <w:spacing w:line="276" w:lineRule="auto"/>
        <w:ind w:left="0"/>
        <w:jc w:val="both"/>
        <w:rPr>
          <w:rFonts w:ascii="GHEA Grapalat" w:hAnsi="GHEA Grapalat" w:cstheme="minorBidi"/>
          <w:noProof/>
          <w:sz w:val="22"/>
          <w:szCs w:val="22"/>
          <w:lang w:val="hy-AM"/>
        </w:rPr>
      </w:pPr>
      <w:r>
        <w:rPr>
          <w:rFonts w:ascii="GHEA Grapalat" w:hAnsi="GHEA Grapalat" w:cstheme="minorBidi"/>
          <w:noProof/>
          <w:sz w:val="22"/>
          <w:szCs w:val="22"/>
        </w:rPr>
        <w:drawing>
          <wp:inline distT="0" distB="0" distL="0" distR="0">
            <wp:extent cx="3208866" cy="2708910"/>
            <wp:effectExtent l="0" t="0" r="10795" b="1524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22780C" w:rsidRPr="00A06B00">
        <w:rPr>
          <w:rFonts w:ascii="GHEA Grapalat" w:hAnsi="GHEA Grapalat" w:cstheme="minorBidi"/>
          <w:noProof/>
          <w:sz w:val="22"/>
          <w:szCs w:val="22"/>
          <w:lang w:val="hy-AM"/>
        </w:rPr>
        <w:t xml:space="preserve"> </w:t>
      </w:r>
      <w:r w:rsidR="0022780C">
        <w:rPr>
          <w:rFonts w:ascii="GHEA Grapalat" w:hAnsi="GHEA Grapalat" w:cstheme="minorBidi"/>
          <w:noProof/>
          <w:sz w:val="22"/>
          <w:szCs w:val="22"/>
        </w:rPr>
        <w:drawing>
          <wp:inline distT="0" distB="0" distL="0" distR="0" wp14:anchorId="4B194703" wp14:editId="23C61682">
            <wp:extent cx="3208866" cy="2708910"/>
            <wp:effectExtent l="0" t="0" r="10795" b="1524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35466" w:rsidRDefault="00235466" w:rsidP="000365D4">
      <w:pPr>
        <w:pStyle w:val="ListParagraph"/>
        <w:spacing w:line="276" w:lineRule="auto"/>
        <w:ind w:left="0" w:firstLine="567"/>
        <w:jc w:val="both"/>
        <w:rPr>
          <w:rFonts w:ascii="GHEA Grapalat" w:hAnsi="GHEA Grapalat" w:cstheme="minorBidi"/>
          <w:noProof/>
          <w:sz w:val="22"/>
          <w:szCs w:val="22"/>
          <w:lang w:val="hy-AM"/>
        </w:rPr>
      </w:pPr>
    </w:p>
    <w:p w:rsidR="00AD0A65" w:rsidRPr="006A3ABD" w:rsidRDefault="007F54C0" w:rsidP="007F54C0">
      <w:pPr>
        <w:pStyle w:val="ListParagraph"/>
        <w:spacing w:line="276" w:lineRule="auto"/>
        <w:ind w:left="0" w:firstLine="567"/>
        <w:jc w:val="both"/>
        <w:rPr>
          <w:rFonts w:ascii="GHEA Grapalat" w:hAnsi="GHEA Grapalat" w:cstheme="minorBidi"/>
          <w:noProof/>
          <w:sz w:val="22"/>
          <w:szCs w:val="22"/>
          <w:lang w:val="hy-AM"/>
        </w:rPr>
      </w:pPr>
      <w:r w:rsidRPr="006A3ABD">
        <w:rPr>
          <w:rFonts w:ascii="GHEA Grapalat" w:hAnsi="GHEA Grapalat" w:cstheme="minorBidi"/>
          <w:noProof/>
          <w:sz w:val="22"/>
          <w:szCs w:val="22"/>
          <w:lang w:val="hy-AM"/>
        </w:rPr>
        <w:lastRenderedPageBreak/>
        <w:t>ՀՀ պետական բյուջեի</w:t>
      </w:r>
      <w:r w:rsidR="00D11970" w:rsidRPr="006A3ABD">
        <w:rPr>
          <w:rFonts w:ascii="GHEA Grapalat" w:hAnsi="GHEA Grapalat" w:cstheme="minorBidi"/>
          <w:noProof/>
          <w:sz w:val="22"/>
          <w:szCs w:val="22"/>
          <w:lang w:val="hy-AM"/>
        </w:rPr>
        <w:t xml:space="preserve"> ծախսերի 93.9% կատարողականը հիմնականում պայմանավորված է կրթության, ընդհանուր բնույթի հանրային ծառայությունների և սոցիալական ապահովության ոլորտների ծախսերի կատարողականով:</w:t>
      </w:r>
    </w:p>
    <w:p w:rsidR="00AA2FCC" w:rsidRPr="006A3ABD" w:rsidRDefault="00AA2FCC" w:rsidP="002A5FFE">
      <w:pPr>
        <w:pStyle w:val="ListParagraph"/>
        <w:spacing w:line="276" w:lineRule="auto"/>
        <w:ind w:left="0" w:firstLine="567"/>
        <w:jc w:val="both"/>
        <w:rPr>
          <w:rFonts w:ascii="GHEA Grapalat" w:hAnsi="GHEA Grapalat" w:cstheme="minorBidi"/>
          <w:noProof/>
          <w:sz w:val="22"/>
          <w:szCs w:val="22"/>
          <w:lang w:val="hy-AM"/>
        </w:rPr>
      </w:pPr>
      <w:r w:rsidRPr="006A3ABD">
        <w:rPr>
          <w:rFonts w:ascii="GHEA Grapalat" w:hAnsi="GHEA Grapalat" w:cstheme="minorBidi"/>
          <w:noProof/>
          <w:sz w:val="22"/>
          <w:szCs w:val="22"/>
          <w:lang w:val="hy-AM"/>
        </w:rPr>
        <w:t xml:space="preserve">Կրթության </w:t>
      </w:r>
      <w:r w:rsidR="00F16593" w:rsidRPr="006A3ABD">
        <w:rPr>
          <w:rFonts w:ascii="GHEA Grapalat" w:hAnsi="GHEA Grapalat" w:cstheme="minorBidi"/>
          <w:noProof/>
          <w:sz w:val="22"/>
          <w:szCs w:val="22"/>
          <w:lang w:val="hy-AM"/>
        </w:rPr>
        <w:t>ոլորտ</w:t>
      </w:r>
      <w:r w:rsidRPr="006A3ABD">
        <w:rPr>
          <w:rFonts w:ascii="GHEA Grapalat" w:hAnsi="GHEA Grapalat" w:cstheme="minorBidi"/>
          <w:noProof/>
          <w:sz w:val="22"/>
          <w:szCs w:val="22"/>
          <w:lang w:val="hy-AM"/>
        </w:rPr>
        <w:t xml:space="preserve">ի ծախսերը 2024թ. կազմել են 231 մլրդ դրամ և </w:t>
      </w:r>
      <w:r w:rsidR="002A5FFE" w:rsidRPr="006A3ABD">
        <w:rPr>
          <w:rFonts w:ascii="GHEA Grapalat" w:hAnsi="GHEA Grapalat" w:cstheme="minorBidi"/>
          <w:noProof/>
          <w:sz w:val="22"/>
          <w:szCs w:val="22"/>
          <w:lang w:val="hy-AM"/>
        </w:rPr>
        <w:t>ապահովել 78.</w:t>
      </w:r>
      <w:r w:rsidR="00BD10AD" w:rsidRPr="00461D3C">
        <w:rPr>
          <w:rFonts w:ascii="GHEA Grapalat" w:hAnsi="GHEA Grapalat" w:cstheme="minorBidi"/>
          <w:noProof/>
          <w:sz w:val="22"/>
          <w:szCs w:val="22"/>
          <w:lang w:val="hy-AM"/>
        </w:rPr>
        <w:t>6</w:t>
      </w:r>
      <w:r w:rsidR="002A5FFE" w:rsidRPr="006A3ABD">
        <w:rPr>
          <w:rFonts w:ascii="GHEA Grapalat" w:hAnsi="GHEA Grapalat" w:cstheme="minorBidi"/>
          <w:noProof/>
          <w:sz w:val="22"/>
          <w:szCs w:val="22"/>
          <w:lang w:val="hy-AM"/>
        </w:rPr>
        <w:t xml:space="preserve">% կատարողական: Շեղումը </w:t>
      </w:r>
      <w:r w:rsidR="002B7CE9" w:rsidRPr="006A3ABD">
        <w:rPr>
          <w:rFonts w:ascii="GHEA Grapalat" w:hAnsi="GHEA Grapalat" w:cstheme="minorBidi"/>
          <w:noProof/>
          <w:sz w:val="22"/>
          <w:szCs w:val="22"/>
          <w:lang w:val="hy-AM"/>
        </w:rPr>
        <w:t xml:space="preserve">հիմնականում </w:t>
      </w:r>
      <w:r w:rsidR="002A5FFE" w:rsidRPr="006A3ABD">
        <w:rPr>
          <w:rFonts w:ascii="GHEA Grapalat" w:hAnsi="GHEA Grapalat" w:cstheme="minorBidi"/>
          <w:noProof/>
          <w:sz w:val="22"/>
          <w:szCs w:val="22"/>
          <w:lang w:val="hy-AM"/>
        </w:rPr>
        <w:t>արձանագրվել է հիմնական ընդհանուր կրթության դասի ծախսերում</w:t>
      </w:r>
      <w:r w:rsidR="000719B4" w:rsidRPr="006A3ABD">
        <w:rPr>
          <w:rFonts w:ascii="GHEA Grapalat" w:hAnsi="GHEA Grapalat" w:cstheme="minorBidi"/>
          <w:noProof/>
          <w:sz w:val="22"/>
          <w:szCs w:val="22"/>
          <w:lang w:val="hy-AM"/>
        </w:rPr>
        <w:t>, որոնք կատարվել են 62.6%-ով՝ կազմելով 84.5 մլրդ դրամ, որը</w:t>
      </w:r>
      <w:r w:rsidR="002A5FFE" w:rsidRPr="006A3ABD">
        <w:rPr>
          <w:rFonts w:ascii="GHEA Grapalat" w:hAnsi="GHEA Grapalat" w:cstheme="minorBidi"/>
          <w:noProof/>
          <w:sz w:val="22"/>
          <w:szCs w:val="22"/>
          <w:lang w:val="hy-AM"/>
        </w:rPr>
        <w:t xml:space="preserve"> պայմանավորված </w:t>
      </w:r>
      <w:r w:rsidR="000719B4" w:rsidRPr="006A3ABD">
        <w:rPr>
          <w:rFonts w:ascii="GHEA Grapalat" w:hAnsi="GHEA Grapalat" w:cstheme="minorBidi"/>
          <w:noProof/>
          <w:sz w:val="22"/>
          <w:szCs w:val="22"/>
          <w:lang w:val="hy-AM"/>
        </w:rPr>
        <w:t>է «Հանրակրթական և նախադպրոցական հաստատությունների հիմնում, կառուցում, բարելավում» ծրագրի ցածր կատարողականով:</w:t>
      </w:r>
    </w:p>
    <w:p w:rsidR="00F16593" w:rsidRPr="006A3ABD" w:rsidRDefault="00FB2F7B" w:rsidP="00FB2F7B">
      <w:pPr>
        <w:pStyle w:val="ListParagraph"/>
        <w:spacing w:line="276" w:lineRule="auto"/>
        <w:ind w:left="0" w:firstLine="567"/>
        <w:jc w:val="both"/>
        <w:rPr>
          <w:rFonts w:ascii="GHEA Grapalat" w:hAnsi="GHEA Grapalat" w:cstheme="minorBidi"/>
          <w:noProof/>
          <w:sz w:val="22"/>
          <w:szCs w:val="22"/>
          <w:lang w:val="hy-AM"/>
        </w:rPr>
      </w:pPr>
      <w:r w:rsidRPr="006A3ABD">
        <w:rPr>
          <w:rFonts w:ascii="GHEA Grapalat" w:hAnsi="GHEA Grapalat" w:cstheme="minorBidi"/>
          <w:noProof/>
          <w:sz w:val="22"/>
          <w:szCs w:val="22"/>
          <w:lang w:val="hy-AM"/>
        </w:rPr>
        <w:t xml:space="preserve">Ընդհանուր բնույթի հանրային ծառայությունների բաժնի ծախսերը </w:t>
      </w:r>
      <w:r w:rsidR="00D34C7E" w:rsidRPr="006A3ABD">
        <w:rPr>
          <w:rFonts w:ascii="GHEA Grapalat" w:hAnsi="GHEA Grapalat" w:cstheme="minorBidi"/>
          <w:noProof/>
          <w:sz w:val="22"/>
          <w:szCs w:val="22"/>
          <w:lang w:val="hy-AM"/>
        </w:rPr>
        <w:t xml:space="preserve">կազմել են </w:t>
      </w:r>
      <w:r w:rsidR="00257B03" w:rsidRPr="00461D3C">
        <w:rPr>
          <w:rFonts w:ascii="GHEA Grapalat" w:hAnsi="GHEA Grapalat" w:cstheme="minorBidi"/>
          <w:noProof/>
          <w:sz w:val="22"/>
          <w:szCs w:val="22"/>
          <w:lang w:val="hy-AM"/>
        </w:rPr>
        <w:t>671.3</w:t>
      </w:r>
      <w:r w:rsidRPr="006A3ABD">
        <w:rPr>
          <w:rFonts w:ascii="GHEA Grapalat" w:hAnsi="GHEA Grapalat" w:cstheme="minorBidi"/>
          <w:noProof/>
          <w:sz w:val="22"/>
          <w:szCs w:val="22"/>
          <w:lang w:val="hy-AM"/>
        </w:rPr>
        <w:t xml:space="preserve"> մլրդ դրամ կամ ծրագրված ցուցանիշի 92.7%-ը</w:t>
      </w:r>
      <w:r w:rsidR="000143CC" w:rsidRPr="006A3ABD">
        <w:rPr>
          <w:rFonts w:ascii="GHEA Grapalat" w:hAnsi="GHEA Grapalat" w:cstheme="minorBidi"/>
          <w:noProof/>
          <w:sz w:val="22"/>
          <w:szCs w:val="22"/>
          <w:lang w:val="hy-AM"/>
        </w:rPr>
        <w:t>: Շեղումը հիմնականում պայմանավորված է պետական պարտքի սպասարկման ծախսերի գծով խնայողություններով, ինչպես նաև ֆինանսական և հարկաբյուջետային հարաբերությունների դասի</w:t>
      </w:r>
      <w:r w:rsidR="00D60D19" w:rsidRPr="006A3ABD">
        <w:rPr>
          <w:rFonts w:ascii="GHEA Grapalat" w:hAnsi="GHEA Grapalat" w:cstheme="minorBidi"/>
          <w:noProof/>
          <w:sz w:val="22"/>
          <w:szCs w:val="22"/>
          <w:lang w:val="hy-AM"/>
        </w:rPr>
        <w:t xml:space="preserve"> կատարողականով, որը կազմել է 94.9% (108 մլրդ դրամ): Շեղումը հիմնականում արձանագրվել է</w:t>
      </w:r>
      <w:r w:rsidR="000143CC" w:rsidRPr="006A3ABD">
        <w:rPr>
          <w:rFonts w:ascii="GHEA Grapalat" w:hAnsi="GHEA Grapalat" w:cstheme="minorBidi"/>
          <w:noProof/>
          <w:sz w:val="22"/>
          <w:szCs w:val="22"/>
          <w:lang w:val="hy-AM"/>
        </w:rPr>
        <w:t xml:space="preserve"> </w:t>
      </w:r>
      <w:r w:rsidR="00D60D19" w:rsidRPr="006A3ABD">
        <w:rPr>
          <w:rFonts w:ascii="GHEA Grapalat" w:hAnsi="GHEA Grapalat" w:cstheme="minorBidi"/>
          <w:noProof/>
          <w:sz w:val="22"/>
          <w:szCs w:val="22"/>
          <w:lang w:val="hy-AM"/>
        </w:rPr>
        <w:t>«</w:t>
      </w:r>
      <w:r w:rsidR="00646FD4" w:rsidRPr="006A3ABD">
        <w:rPr>
          <w:rFonts w:ascii="GHEA Grapalat" w:hAnsi="GHEA Grapalat" w:cstheme="minorBidi"/>
          <w:noProof/>
          <w:sz w:val="22"/>
          <w:szCs w:val="22"/>
          <w:lang w:val="hy-AM"/>
        </w:rPr>
        <w:t>Հարկային և մաքսային ծառայություններ</w:t>
      </w:r>
      <w:r w:rsidR="00D60D19" w:rsidRPr="006A3ABD">
        <w:rPr>
          <w:rFonts w:ascii="GHEA Grapalat" w:hAnsi="GHEA Grapalat" w:cstheme="minorBidi"/>
          <w:noProof/>
          <w:sz w:val="22"/>
          <w:szCs w:val="22"/>
          <w:lang w:val="hy-AM"/>
        </w:rPr>
        <w:t>» ծրագրի ծախսերում:</w:t>
      </w:r>
    </w:p>
    <w:p w:rsidR="00E020DA" w:rsidRPr="002863FE" w:rsidRDefault="00D34C7E" w:rsidP="00E4747D">
      <w:pPr>
        <w:pStyle w:val="ListParagraph"/>
        <w:spacing w:line="276" w:lineRule="auto"/>
        <w:ind w:left="0" w:firstLine="567"/>
        <w:jc w:val="both"/>
        <w:rPr>
          <w:rFonts w:ascii="GHEA Grapalat" w:hAnsi="GHEA Grapalat" w:cstheme="minorBidi"/>
          <w:noProof/>
          <w:sz w:val="22"/>
          <w:szCs w:val="22"/>
          <w:lang w:val="hy-AM"/>
        </w:rPr>
      </w:pPr>
      <w:r w:rsidRPr="006A3ABD">
        <w:rPr>
          <w:rFonts w:ascii="GHEA Grapalat" w:hAnsi="GHEA Grapalat" w:cstheme="minorBidi"/>
          <w:noProof/>
          <w:sz w:val="22"/>
          <w:szCs w:val="22"/>
          <w:lang w:val="hy-AM"/>
        </w:rPr>
        <w:t xml:space="preserve">Սոցիալական ապահովության ոլորտի ծախսերը 2024թ. կազմել են </w:t>
      </w:r>
      <w:r w:rsidR="00E4747D" w:rsidRPr="00461D3C">
        <w:rPr>
          <w:rFonts w:ascii="GHEA Grapalat" w:hAnsi="GHEA Grapalat" w:cstheme="minorBidi"/>
          <w:noProof/>
          <w:sz w:val="22"/>
          <w:szCs w:val="22"/>
          <w:lang w:val="hy-AM"/>
        </w:rPr>
        <w:t>851.9</w:t>
      </w:r>
      <w:r w:rsidRPr="006A3ABD">
        <w:rPr>
          <w:rFonts w:ascii="GHEA Grapalat" w:hAnsi="GHEA Grapalat" w:cstheme="minorBidi"/>
          <w:noProof/>
          <w:sz w:val="22"/>
          <w:szCs w:val="22"/>
          <w:lang w:val="hy-AM"/>
        </w:rPr>
        <w:t xml:space="preserve"> մլրդ դրամ և ապահովել 97.1% կատարողական: Շեղումը հիմնականում արձանագրվել է «Ծերություն», «</w:t>
      </w:r>
      <w:r w:rsidR="00E020DA" w:rsidRPr="006A3ABD">
        <w:rPr>
          <w:rFonts w:ascii="GHEA Grapalat" w:hAnsi="GHEA Grapalat" w:cstheme="minorBidi"/>
          <w:noProof/>
          <w:sz w:val="22"/>
          <w:szCs w:val="22"/>
          <w:lang w:val="hy-AM"/>
        </w:rPr>
        <w:t>Ընտանիքի անդամներ և զավակներ» և «Սոցիալական պաշտպանությանը տրամադրվող օժանդակ ծառայություններ (այլ դասերի չպատկանող)» դասերում: Մասնավորապես՝ ծերության դասի ծախսերը կատարվել են 98.5%</w:t>
      </w:r>
      <w:r w:rsidR="00E020DA" w:rsidRPr="006A3ABD">
        <w:rPr>
          <w:rFonts w:ascii="GHEA Grapalat" w:hAnsi="GHEA Grapalat" w:cstheme="minorBidi"/>
          <w:noProof/>
          <w:sz w:val="22"/>
          <w:szCs w:val="22"/>
          <w:lang w:val="hy-AM"/>
        </w:rPr>
        <w:noBreakHyphen/>
        <w:t>ով՝ կազմելով 580.2 մլրդ դրամ: Շեղումը</w:t>
      </w:r>
      <w:r w:rsidR="0049680F" w:rsidRPr="006A3ABD">
        <w:rPr>
          <w:rFonts w:ascii="GHEA Grapalat" w:hAnsi="GHEA Grapalat" w:cstheme="minorBidi"/>
          <w:noProof/>
          <w:sz w:val="22"/>
          <w:szCs w:val="22"/>
          <w:lang w:val="hy-AM"/>
        </w:rPr>
        <w:t xml:space="preserve"> հիմնականում պայմանավորված է աշխատանքային կենսաթոշակներին հատկացված միջոցների տնտեսմամբ:</w:t>
      </w:r>
      <w:r w:rsidR="00E32A28" w:rsidRPr="006A3ABD">
        <w:rPr>
          <w:rFonts w:ascii="GHEA Grapalat" w:hAnsi="GHEA Grapalat" w:cstheme="minorBidi"/>
          <w:noProof/>
          <w:sz w:val="22"/>
          <w:szCs w:val="22"/>
          <w:lang w:val="hy-AM"/>
        </w:rPr>
        <w:t xml:space="preserve"> </w:t>
      </w:r>
      <w:r w:rsidR="0056386A" w:rsidRPr="006A3ABD">
        <w:rPr>
          <w:rFonts w:ascii="GHEA Grapalat" w:hAnsi="GHEA Grapalat" w:cstheme="minorBidi"/>
          <w:noProof/>
          <w:sz w:val="22"/>
          <w:szCs w:val="22"/>
          <w:lang w:val="hy-AM"/>
        </w:rPr>
        <w:t xml:space="preserve">«Ընտանիքի անդամներ և զավակներ» դասի ծախսերը կազմել են </w:t>
      </w:r>
      <w:r w:rsidR="004B45B7" w:rsidRPr="006A3ABD">
        <w:rPr>
          <w:rFonts w:ascii="GHEA Grapalat" w:hAnsi="GHEA Grapalat" w:cstheme="minorBidi"/>
          <w:noProof/>
          <w:sz w:val="22"/>
          <w:szCs w:val="22"/>
          <w:lang w:val="hy-AM"/>
        </w:rPr>
        <w:t>112.4 մլրդ դրամ՝ ապահովելով 94.2% կատարողական: Շեղումը հիմնականում արձանագրվել է «Անապահով սոցիալական խմբերին աջակցություն և «Ժողովրդագրական վիճակի բարելավում» ծրագրերում:</w:t>
      </w:r>
      <w:r w:rsidR="00E4747D">
        <w:rPr>
          <w:rFonts w:ascii="GHEA Grapalat" w:hAnsi="GHEA Grapalat" w:cstheme="minorBidi"/>
          <w:noProof/>
          <w:sz w:val="22"/>
          <w:szCs w:val="22"/>
          <w:lang w:val="hy-AM"/>
        </w:rPr>
        <w:t xml:space="preserve"> Իսկ ս</w:t>
      </w:r>
      <w:r w:rsidR="00E4747D" w:rsidRPr="006A3ABD">
        <w:rPr>
          <w:rFonts w:ascii="GHEA Grapalat" w:hAnsi="GHEA Grapalat" w:cstheme="minorBidi"/>
          <w:noProof/>
          <w:sz w:val="22"/>
          <w:szCs w:val="22"/>
          <w:lang w:val="hy-AM"/>
        </w:rPr>
        <w:t>ոցիալական պաշտպանությանը տրամադրվող օժանդակ ծառայություններ</w:t>
      </w:r>
      <w:r w:rsidR="00E4747D" w:rsidRPr="00EF675F">
        <w:rPr>
          <w:rFonts w:ascii="GHEA Grapalat" w:hAnsi="GHEA Grapalat" w:cstheme="minorBidi"/>
          <w:noProof/>
          <w:sz w:val="22"/>
          <w:szCs w:val="22"/>
          <w:lang w:val="hy-AM"/>
        </w:rPr>
        <w:t xml:space="preserve"> </w:t>
      </w:r>
      <w:r w:rsidR="00E4747D">
        <w:rPr>
          <w:rFonts w:ascii="GHEA Grapalat" w:hAnsi="GHEA Grapalat" w:cstheme="minorBidi"/>
          <w:noProof/>
          <w:sz w:val="22"/>
          <w:szCs w:val="22"/>
          <w:lang w:val="hy-AM"/>
        </w:rPr>
        <w:t>դասի</w:t>
      </w:r>
      <w:r w:rsidR="006F783F">
        <w:rPr>
          <w:rFonts w:ascii="GHEA Grapalat" w:hAnsi="GHEA Grapalat" w:cstheme="minorBidi"/>
          <w:noProof/>
          <w:sz w:val="22"/>
          <w:szCs w:val="22"/>
          <w:lang w:val="hy-AM"/>
        </w:rPr>
        <w:t xml:space="preserve"> </w:t>
      </w:r>
      <w:r w:rsidR="006F783F" w:rsidRPr="006A3ABD">
        <w:rPr>
          <w:rFonts w:ascii="GHEA Grapalat" w:hAnsi="GHEA Grapalat" w:cstheme="minorBidi"/>
          <w:noProof/>
          <w:sz w:val="22"/>
          <w:szCs w:val="22"/>
          <w:lang w:val="hy-AM"/>
        </w:rPr>
        <w:t>94.</w:t>
      </w:r>
      <w:r w:rsidR="006F783F">
        <w:rPr>
          <w:rFonts w:ascii="GHEA Grapalat" w:hAnsi="GHEA Grapalat" w:cstheme="minorBidi"/>
          <w:noProof/>
          <w:sz w:val="22"/>
          <w:szCs w:val="22"/>
          <w:lang w:val="hy-AM"/>
        </w:rPr>
        <w:t>9</w:t>
      </w:r>
      <w:r w:rsidR="006F783F" w:rsidRPr="006A3ABD">
        <w:rPr>
          <w:rFonts w:ascii="GHEA Grapalat" w:hAnsi="GHEA Grapalat" w:cstheme="minorBidi"/>
          <w:noProof/>
          <w:sz w:val="22"/>
          <w:szCs w:val="22"/>
          <w:lang w:val="hy-AM"/>
        </w:rPr>
        <w:t>% կատարողական</w:t>
      </w:r>
      <w:r w:rsidR="006F783F">
        <w:rPr>
          <w:rFonts w:ascii="GHEA Grapalat" w:hAnsi="GHEA Grapalat" w:cstheme="minorBidi"/>
          <w:noProof/>
          <w:sz w:val="22"/>
          <w:szCs w:val="22"/>
          <w:lang w:val="hy-AM"/>
        </w:rPr>
        <w:t>ը (122.7 մլրդ դրամ) հիմնականում պայմանավորված է</w:t>
      </w:r>
      <w:r w:rsidR="00EF675F">
        <w:rPr>
          <w:rFonts w:ascii="GHEA Grapalat" w:hAnsi="GHEA Grapalat" w:cstheme="minorBidi"/>
          <w:noProof/>
          <w:sz w:val="22"/>
          <w:szCs w:val="22"/>
          <w:lang w:val="hy-AM"/>
        </w:rPr>
        <w:t xml:space="preserve"> </w:t>
      </w:r>
      <w:r w:rsidR="009C7B37" w:rsidRPr="002863FE">
        <w:rPr>
          <w:rFonts w:ascii="GHEA Grapalat" w:hAnsi="GHEA Grapalat" w:cstheme="minorBidi"/>
          <w:noProof/>
          <w:sz w:val="22"/>
          <w:szCs w:val="22"/>
          <w:lang w:val="hy-AM"/>
        </w:rPr>
        <w:t>«</w:t>
      </w:r>
      <w:r w:rsidR="00EF675F" w:rsidRPr="00EF675F">
        <w:rPr>
          <w:rFonts w:ascii="GHEA Grapalat" w:hAnsi="GHEA Grapalat" w:cstheme="minorBidi"/>
          <w:noProof/>
          <w:sz w:val="22"/>
          <w:szCs w:val="22"/>
          <w:lang w:val="hy-AM"/>
        </w:rPr>
        <w:t>Ճգնաժամերի հակազդման և արտակարգ իրավիճակների հետևանքների նվազեցման և վերացման նպատակով` առանձին սոցիալական խմբերին տրվող սոցիալական աջակցություն</w:t>
      </w:r>
      <w:r w:rsidR="009C7B37" w:rsidRPr="002863FE">
        <w:rPr>
          <w:rFonts w:ascii="GHEA Grapalat" w:hAnsi="GHEA Grapalat" w:cstheme="minorBidi"/>
          <w:noProof/>
          <w:sz w:val="22"/>
          <w:szCs w:val="22"/>
          <w:lang w:val="hy-AM"/>
        </w:rPr>
        <w:t>» և «Սոցիալական փաթեթների ապահովում» ծրագրերի կատարողականով:</w:t>
      </w:r>
    </w:p>
    <w:p w:rsidR="00BA7A5B" w:rsidRPr="006A3ABD" w:rsidRDefault="00BA7A5B" w:rsidP="007F54C0">
      <w:pPr>
        <w:pStyle w:val="ListParagraph"/>
        <w:spacing w:line="276" w:lineRule="auto"/>
        <w:ind w:left="0" w:firstLine="567"/>
        <w:jc w:val="both"/>
        <w:rPr>
          <w:rFonts w:ascii="GHEA Grapalat" w:hAnsi="GHEA Grapalat" w:cstheme="minorBidi"/>
          <w:noProof/>
          <w:sz w:val="22"/>
          <w:szCs w:val="22"/>
          <w:lang w:val="hy-AM"/>
        </w:rPr>
      </w:pPr>
    </w:p>
    <w:p w:rsidR="00171F7E" w:rsidRPr="006A3ABD" w:rsidRDefault="00171F7E" w:rsidP="00171F7E">
      <w:pPr>
        <w:pStyle w:val="Caption"/>
        <w:keepNext/>
        <w:tabs>
          <w:tab w:val="left" w:pos="1134"/>
        </w:tabs>
        <w:spacing w:before="0" w:after="0" w:line="276" w:lineRule="auto"/>
        <w:jc w:val="left"/>
        <w:rPr>
          <w:rFonts w:ascii="GHEA Grapalat" w:hAnsi="GHEA Grapalat"/>
          <w:sz w:val="18"/>
          <w:szCs w:val="18"/>
          <w:lang w:val="hy-AM"/>
        </w:rPr>
      </w:pPr>
      <w:r w:rsidRPr="006A3ABD">
        <w:rPr>
          <w:rFonts w:ascii="GHEA Grapalat" w:hAnsi="GHEA Grapalat"/>
          <w:sz w:val="18"/>
          <w:szCs w:val="18"/>
          <w:lang w:val="hy-AM"/>
        </w:rPr>
        <w:t xml:space="preserve">Աղյուսակ </w:t>
      </w:r>
      <w:r w:rsidR="00754759" w:rsidRPr="006A3ABD">
        <w:rPr>
          <w:rFonts w:ascii="GHEA Grapalat" w:hAnsi="GHEA Grapalat"/>
          <w:sz w:val="18"/>
          <w:szCs w:val="18"/>
          <w:lang w:val="hy-AM"/>
        </w:rPr>
        <w:t>1</w:t>
      </w:r>
      <w:r w:rsidRPr="006A3ABD">
        <w:rPr>
          <w:rFonts w:ascii="GHEA Grapalat" w:hAnsi="GHEA Grapalat"/>
          <w:sz w:val="18"/>
          <w:szCs w:val="18"/>
          <w:lang w:val="hy-AM"/>
        </w:rPr>
        <w:t>. ՀՀ պետական բյուջեի ծախսերն ըստ գործառական դասակարգման</w:t>
      </w:r>
      <w:r w:rsidR="002D02FA">
        <w:rPr>
          <w:rFonts w:ascii="GHEA Grapalat" w:hAnsi="GHEA Grapalat"/>
          <w:sz w:val="18"/>
          <w:szCs w:val="18"/>
          <w:lang w:val="hy-AM"/>
        </w:rPr>
        <w:t xml:space="preserve"> բաժինների</w:t>
      </w:r>
      <w:r w:rsidRPr="006A3ABD">
        <w:rPr>
          <w:rFonts w:ascii="GHEA Grapalat" w:hAnsi="GHEA Grapalat"/>
          <w:sz w:val="18"/>
          <w:szCs w:val="18"/>
          <w:lang w:val="hy-AM"/>
        </w:rPr>
        <w:t xml:space="preserve">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567"/>
        <w:gridCol w:w="2694"/>
        <w:gridCol w:w="992"/>
        <w:gridCol w:w="709"/>
        <w:gridCol w:w="992"/>
        <w:gridCol w:w="992"/>
        <w:gridCol w:w="851"/>
        <w:gridCol w:w="1417"/>
        <w:gridCol w:w="992"/>
      </w:tblGrid>
      <w:tr w:rsidR="0070079A" w:rsidRPr="00C921DE" w:rsidTr="0070079A">
        <w:tc>
          <w:tcPr>
            <w:tcW w:w="3261" w:type="dxa"/>
            <w:gridSpan w:val="2"/>
            <w:shd w:val="clear" w:color="auto" w:fill="D9E2F3" w:themeFill="accent5" w:themeFillTint="33"/>
          </w:tcPr>
          <w:p w:rsidR="00171F7E" w:rsidRPr="006A3ABD" w:rsidRDefault="00171F7E" w:rsidP="00174A2D">
            <w:pPr>
              <w:spacing w:line="276" w:lineRule="auto"/>
              <w:rPr>
                <w:rFonts w:ascii="GHEA Grapalat" w:hAnsi="GHEA Grapalat" w:cs="Calibri"/>
                <w:sz w:val="18"/>
                <w:szCs w:val="18"/>
                <w:lang w:val="hy-AM"/>
              </w:rPr>
            </w:pPr>
            <w:r w:rsidRPr="006A3ABD">
              <w:rPr>
                <w:rFonts w:ascii="Calibri" w:hAnsi="Calibri" w:cs="Calibri"/>
                <w:sz w:val="18"/>
                <w:szCs w:val="18"/>
                <w:lang w:val="hy-AM"/>
              </w:rPr>
              <w:t> </w:t>
            </w:r>
          </w:p>
        </w:tc>
        <w:tc>
          <w:tcPr>
            <w:tcW w:w="992" w:type="dxa"/>
            <w:shd w:val="clear" w:color="auto" w:fill="D9E2F3" w:themeFill="accent5" w:themeFillTint="33"/>
          </w:tcPr>
          <w:p w:rsidR="00171F7E" w:rsidRPr="0056386A" w:rsidRDefault="00171F7E" w:rsidP="00174A2D">
            <w:pPr>
              <w:spacing w:line="276" w:lineRule="auto"/>
              <w:jc w:val="center"/>
              <w:rPr>
                <w:rFonts w:ascii="GHEA Grapalat" w:hAnsi="GHEA Grapalat" w:cs="Calibri"/>
                <w:bCs/>
                <w:sz w:val="18"/>
                <w:szCs w:val="18"/>
              </w:rPr>
            </w:pPr>
            <w:r w:rsidRPr="0056386A">
              <w:rPr>
                <w:rFonts w:ascii="GHEA Grapalat" w:hAnsi="GHEA Grapalat" w:cs="Calibri"/>
                <w:bCs/>
                <w:sz w:val="18"/>
                <w:szCs w:val="18"/>
              </w:rPr>
              <w:t>2023թ. փաստ</w:t>
            </w:r>
          </w:p>
        </w:tc>
        <w:tc>
          <w:tcPr>
            <w:tcW w:w="709" w:type="dxa"/>
            <w:shd w:val="clear" w:color="auto" w:fill="D9E2F3" w:themeFill="accent5" w:themeFillTint="33"/>
          </w:tcPr>
          <w:p w:rsidR="00171F7E" w:rsidRPr="0056386A" w:rsidRDefault="00171F7E" w:rsidP="00174A2D">
            <w:pPr>
              <w:spacing w:line="276" w:lineRule="auto"/>
              <w:jc w:val="center"/>
              <w:rPr>
                <w:rFonts w:ascii="GHEA Grapalat" w:hAnsi="GHEA Grapalat" w:cs="Calibri"/>
                <w:bCs/>
                <w:sz w:val="18"/>
                <w:szCs w:val="18"/>
              </w:rPr>
            </w:pPr>
            <w:r w:rsidRPr="0056386A">
              <w:rPr>
                <w:rFonts w:ascii="GHEA Grapalat" w:hAnsi="GHEA Grapalat" w:cs="Calibri"/>
                <w:bCs/>
                <w:sz w:val="18"/>
                <w:szCs w:val="18"/>
              </w:rPr>
              <w:t>ՀՆԱ-ի մեջ (%)</w:t>
            </w:r>
          </w:p>
        </w:tc>
        <w:tc>
          <w:tcPr>
            <w:tcW w:w="992" w:type="dxa"/>
            <w:shd w:val="clear" w:color="auto" w:fill="D9E2F3" w:themeFill="accent5" w:themeFillTint="33"/>
          </w:tcPr>
          <w:p w:rsidR="00171F7E" w:rsidRPr="0056386A" w:rsidRDefault="00171F7E" w:rsidP="00174A2D">
            <w:pPr>
              <w:spacing w:line="276" w:lineRule="auto"/>
              <w:jc w:val="center"/>
              <w:rPr>
                <w:rFonts w:ascii="GHEA Grapalat" w:hAnsi="GHEA Grapalat" w:cs="Calibri"/>
                <w:bCs/>
                <w:sz w:val="18"/>
                <w:szCs w:val="18"/>
              </w:rPr>
            </w:pPr>
            <w:r w:rsidRPr="0056386A">
              <w:rPr>
                <w:rFonts w:ascii="GHEA Grapalat" w:hAnsi="GHEA Grapalat" w:cs="Calibri"/>
                <w:bCs/>
                <w:sz w:val="18"/>
                <w:szCs w:val="18"/>
              </w:rPr>
              <w:t>2024թ. ճշտված ծրագիր</w:t>
            </w:r>
          </w:p>
        </w:tc>
        <w:tc>
          <w:tcPr>
            <w:tcW w:w="992" w:type="dxa"/>
            <w:shd w:val="clear" w:color="auto" w:fill="D9E2F3" w:themeFill="accent5" w:themeFillTint="33"/>
          </w:tcPr>
          <w:p w:rsidR="00171F7E" w:rsidRPr="0056386A" w:rsidRDefault="00171F7E" w:rsidP="00174A2D">
            <w:pPr>
              <w:spacing w:line="276" w:lineRule="auto"/>
              <w:jc w:val="center"/>
              <w:rPr>
                <w:rFonts w:ascii="GHEA Grapalat" w:hAnsi="GHEA Grapalat" w:cs="Calibri"/>
                <w:bCs/>
                <w:sz w:val="18"/>
                <w:szCs w:val="18"/>
              </w:rPr>
            </w:pPr>
            <w:r w:rsidRPr="0056386A">
              <w:rPr>
                <w:rFonts w:ascii="GHEA Grapalat" w:hAnsi="GHEA Grapalat" w:cs="Calibri"/>
                <w:bCs/>
                <w:sz w:val="18"/>
                <w:szCs w:val="18"/>
              </w:rPr>
              <w:t>2024թ. փաստ</w:t>
            </w:r>
          </w:p>
        </w:tc>
        <w:tc>
          <w:tcPr>
            <w:tcW w:w="851" w:type="dxa"/>
            <w:shd w:val="clear" w:color="auto" w:fill="D9E2F3" w:themeFill="accent5" w:themeFillTint="33"/>
          </w:tcPr>
          <w:p w:rsidR="00171F7E" w:rsidRPr="0056386A" w:rsidRDefault="00171F7E" w:rsidP="00174A2D">
            <w:pPr>
              <w:spacing w:line="276" w:lineRule="auto"/>
              <w:jc w:val="center"/>
              <w:rPr>
                <w:rFonts w:ascii="GHEA Grapalat" w:hAnsi="GHEA Grapalat" w:cs="Calibri"/>
                <w:bCs/>
                <w:sz w:val="18"/>
                <w:szCs w:val="18"/>
              </w:rPr>
            </w:pPr>
            <w:r w:rsidRPr="0056386A">
              <w:rPr>
                <w:rFonts w:ascii="GHEA Grapalat" w:hAnsi="GHEA Grapalat" w:cs="Calibri"/>
                <w:bCs/>
                <w:sz w:val="18"/>
                <w:szCs w:val="18"/>
              </w:rPr>
              <w:t>ՀՆԱ-ի մեջ (%)</w:t>
            </w:r>
          </w:p>
        </w:tc>
        <w:tc>
          <w:tcPr>
            <w:tcW w:w="1417" w:type="dxa"/>
            <w:shd w:val="clear" w:color="auto" w:fill="D9E2F3" w:themeFill="accent5" w:themeFillTint="33"/>
          </w:tcPr>
          <w:p w:rsidR="00171F7E" w:rsidRPr="0056386A" w:rsidRDefault="00171F7E" w:rsidP="00174A2D">
            <w:pPr>
              <w:spacing w:line="276" w:lineRule="auto"/>
              <w:jc w:val="center"/>
              <w:rPr>
                <w:rFonts w:ascii="GHEA Grapalat" w:hAnsi="GHEA Grapalat" w:cs="Calibri"/>
                <w:bCs/>
                <w:sz w:val="18"/>
                <w:szCs w:val="18"/>
              </w:rPr>
            </w:pPr>
            <w:r w:rsidRPr="0056386A">
              <w:rPr>
                <w:rFonts w:ascii="GHEA Grapalat" w:hAnsi="GHEA Grapalat" w:cs="Calibri"/>
                <w:bCs/>
                <w:sz w:val="18"/>
                <w:szCs w:val="18"/>
              </w:rPr>
              <w:t>Կատարողա-կանը ճշտված ծրագրի նկատմամբ (%)</w:t>
            </w:r>
          </w:p>
        </w:tc>
        <w:tc>
          <w:tcPr>
            <w:tcW w:w="992" w:type="dxa"/>
            <w:shd w:val="clear" w:color="auto" w:fill="D9E2F3" w:themeFill="accent5" w:themeFillTint="33"/>
          </w:tcPr>
          <w:p w:rsidR="00171F7E" w:rsidRPr="0056386A" w:rsidRDefault="00171F7E" w:rsidP="00174A2D">
            <w:pPr>
              <w:spacing w:line="276" w:lineRule="auto"/>
              <w:jc w:val="center"/>
              <w:rPr>
                <w:rFonts w:ascii="GHEA Grapalat" w:hAnsi="GHEA Grapalat" w:cs="Calibri"/>
                <w:bCs/>
                <w:sz w:val="18"/>
                <w:szCs w:val="18"/>
              </w:rPr>
            </w:pPr>
            <w:r w:rsidRPr="0056386A">
              <w:rPr>
                <w:rFonts w:ascii="GHEA Grapalat" w:hAnsi="GHEA Grapalat" w:cs="Calibri"/>
                <w:bCs/>
                <w:sz w:val="18"/>
                <w:szCs w:val="18"/>
              </w:rPr>
              <w:t>2024թ. 2023թ.-ի նկատ</w:t>
            </w:r>
            <w:r w:rsidR="00B5648F" w:rsidRPr="0056386A">
              <w:rPr>
                <w:rFonts w:ascii="GHEA Grapalat" w:hAnsi="GHEA Grapalat" w:cs="Calibri"/>
                <w:bCs/>
                <w:sz w:val="18"/>
                <w:szCs w:val="18"/>
              </w:rPr>
              <w:t>-</w:t>
            </w:r>
            <w:r w:rsidRPr="0056386A">
              <w:rPr>
                <w:rFonts w:ascii="GHEA Grapalat" w:hAnsi="GHEA Grapalat" w:cs="Calibri"/>
                <w:bCs/>
                <w:sz w:val="18"/>
                <w:szCs w:val="18"/>
              </w:rPr>
              <w:t>մամբ (%)</w:t>
            </w:r>
          </w:p>
        </w:tc>
      </w:tr>
      <w:tr w:rsidR="0056386A" w:rsidRPr="00C921DE" w:rsidTr="0070079A">
        <w:tc>
          <w:tcPr>
            <w:tcW w:w="567" w:type="dxa"/>
          </w:tcPr>
          <w:p w:rsidR="0056386A" w:rsidRPr="0056386A" w:rsidRDefault="0056386A" w:rsidP="00174A2D">
            <w:pPr>
              <w:spacing w:line="276" w:lineRule="auto"/>
              <w:rPr>
                <w:rFonts w:ascii="GHEA Grapalat" w:hAnsi="GHEA Grapalat" w:cs="Calibri"/>
                <w:b/>
                <w:bCs/>
                <w:sz w:val="18"/>
                <w:szCs w:val="18"/>
              </w:rPr>
            </w:pPr>
          </w:p>
        </w:tc>
        <w:tc>
          <w:tcPr>
            <w:tcW w:w="2694" w:type="dxa"/>
          </w:tcPr>
          <w:p w:rsidR="0056386A" w:rsidRPr="0056386A" w:rsidRDefault="0056386A" w:rsidP="00174A2D">
            <w:pPr>
              <w:spacing w:line="276" w:lineRule="auto"/>
              <w:rPr>
                <w:rFonts w:ascii="GHEA Grapalat" w:hAnsi="GHEA Grapalat" w:cs="Calibri"/>
                <w:b/>
                <w:bCs/>
                <w:sz w:val="18"/>
                <w:szCs w:val="18"/>
              </w:rPr>
            </w:pPr>
            <w:r w:rsidRPr="0056386A">
              <w:rPr>
                <w:rFonts w:ascii="GHEA Grapalat" w:hAnsi="GHEA Grapalat" w:cs="Calibri"/>
                <w:b/>
                <w:bCs/>
                <w:sz w:val="18"/>
                <w:szCs w:val="18"/>
              </w:rPr>
              <w:t>Ընդամենը ծախսեր</w:t>
            </w:r>
          </w:p>
        </w:tc>
        <w:tc>
          <w:tcPr>
            <w:tcW w:w="992" w:type="dxa"/>
          </w:tcPr>
          <w:p w:rsidR="0056386A" w:rsidRPr="0070079A" w:rsidRDefault="0056386A" w:rsidP="00174A2D">
            <w:pPr>
              <w:spacing w:line="276" w:lineRule="auto"/>
              <w:jc w:val="right"/>
              <w:rPr>
                <w:rFonts w:ascii="GHEA Grapalat" w:hAnsi="GHEA Grapalat" w:cs="Calibri"/>
                <w:b/>
                <w:sz w:val="18"/>
                <w:szCs w:val="18"/>
              </w:rPr>
            </w:pPr>
            <w:r w:rsidRPr="0070079A">
              <w:rPr>
                <w:rFonts w:ascii="GHEA Grapalat" w:hAnsi="GHEA Grapalat" w:cs="Calibri"/>
                <w:b/>
                <w:sz w:val="18"/>
                <w:szCs w:val="18"/>
              </w:rPr>
              <w:t>2,547.6</w:t>
            </w:r>
          </w:p>
        </w:tc>
        <w:tc>
          <w:tcPr>
            <w:tcW w:w="709" w:type="dxa"/>
          </w:tcPr>
          <w:p w:rsidR="0056386A" w:rsidRPr="0070079A" w:rsidRDefault="0056386A" w:rsidP="00174A2D">
            <w:pPr>
              <w:spacing w:line="276" w:lineRule="auto"/>
              <w:jc w:val="right"/>
              <w:rPr>
                <w:rFonts w:ascii="GHEA Grapalat" w:hAnsi="GHEA Grapalat"/>
                <w:b/>
                <w:sz w:val="18"/>
                <w:szCs w:val="18"/>
              </w:rPr>
            </w:pPr>
            <w:r w:rsidRPr="0070079A">
              <w:rPr>
                <w:rFonts w:ascii="GHEA Grapalat" w:hAnsi="GHEA Grapalat"/>
                <w:b/>
                <w:sz w:val="18"/>
                <w:szCs w:val="18"/>
              </w:rPr>
              <w:t>27.0</w:t>
            </w:r>
          </w:p>
        </w:tc>
        <w:tc>
          <w:tcPr>
            <w:tcW w:w="992" w:type="dxa"/>
          </w:tcPr>
          <w:p w:rsidR="0056386A" w:rsidRPr="0070079A" w:rsidRDefault="0056386A" w:rsidP="00174A2D">
            <w:pPr>
              <w:spacing w:line="276" w:lineRule="auto"/>
              <w:jc w:val="right"/>
              <w:rPr>
                <w:rFonts w:ascii="GHEA Grapalat" w:hAnsi="GHEA Grapalat"/>
                <w:b/>
                <w:sz w:val="18"/>
                <w:szCs w:val="18"/>
              </w:rPr>
            </w:pPr>
            <w:r w:rsidRPr="0070079A">
              <w:rPr>
                <w:rFonts w:ascii="GHEA Grapalat" w:hAnsi="GHEA Grapalat"/>
                <w:b/>
                <w:sz w:val="18"/>
                <w:szCs w:val="18"/>
              </w:rPr>
              <w:t>3,148.8</w:t>
            </w:r>
          </w:p>
        </w:tc>
        <w:tc>
          <w:tcPr>
            <w:tcW w:w="992" w:type="dxa"/>
          </w:tcPr>
          <w:p w:rsidR="0056386A" w:rsidRPr="0070079A" w:rsidRDefault="0056386A" w:rsidP="00174A2D">
            <w:pPr>
              <w:spacing w:line="276" w:lineRule="auto"/>
              <w:jc w:val="right"/>
              <w:rPr>
                <w:rFonts w:ascii="GHEA Grapalat" w:hAnsi="GHEA Grapalat"/>
                <w:b/>
                <w:sz w:val="18"/>
                <w:szCs w:val="18"/>
              </w:rPr>
            </w:pPr>
            <w:r w:rsidRPr="0070079A">
              <w:rPr>
                <w:rFonts w:ascii="GHEA Grapalat" w:hAnsi="GHEA Grapalat"/>
                <w:b/>
                <w:sz w:val="18"/>
                <w:szCs w:val="18"/>
              </w:rPr>
              <w:t>2,955.3</w:t>
            </w:r>
          </w:p>
        </w:tc>
        <w:tc>
          <w:tcPr>
            <w:tcW w:w="851" w:type="dxa"/>
          </w:tcPr>
          <w:p w:rsidR="0056386A" w:rsidRPr="0070079A" w:rsidRDefault="0056386A" w:rsidP="00174A2D">
            <w:pPr>
              <w:spacing w:line="276" w:lineRule="auto"/>
              <w:jc w:val="right"/>
              <w:rPr>
                <w:rFonts w:ascii="GHEA Grapalat" w:hAnsi="GHEA Grapalat"/>
                <w:b/>
                <w:sz w:val="18"/>
                <w:szCs w:val="18"/>
              </w:rPr>
            </w:pPr>
            <w:r w:rsidRPr="0070079A">
              <w:rPr>
                <w:rFonts w:ascii="GHEA Grapalat" w:hAnsi="GHEA Grapalat"/>
                <w:b/>
                <w:sz w:val="18"/>
                <w:szCs w:val="18"/>
              </w:rPr>
              <w:t>29.2</w:t>
            </w:r>
          </w:p>
        </w:tc>
        <w:tc>
          <w:tcPr>
            <w:tcW w:w="1417" w:type="dxa"/>
          </w:tcPr>
          <w:p w:rsidR="0056386A" w:rsidRPr="0070079A" w:rsidRDefault="0056386A" w:rsidP="00174A2D">
            <w:pPr>
              <w:spacing w:line="276" w:lineRule="auto"/>
              <w:jc w:val="right"/>
              <w:rPr>
                <w:rFonts w:ascii="GHEA Grapalat" w:hAnsi="GHEA Grapalat"/>
                <w:b/>
                <w:sz w:val="18"/>
                <w:szCs w:val="18"/>
              </w:rPr>
            </w:pPr>
            <w:r w:rsidRPr="0070079A">
              <w:rPr>
                <w:rFonts w:ascii="GHEA Grapalat" w:hAnsi="GHEA Grapalat"/>
                <w:b/>
                <w:sz w:val="18"/>
                <w:szCs w:val="18"/>
              </w:rPr>
              <w:t>93.9</w:t>
            </w:r>
          </w:p>
        </w:tc>
        <w:tc>
          <w:tcPr>
            <w:tcW w:w="992" w:type="dxa"/>
          </w:tcPr>
          <w:p w:rsidR="0056386A" w:rsidRPr="0070079A" w:rsidRDefault="0056386A" w:rsidP="00174A2D">
            <w:pPr>
              <w:spacing w:line="276" w:lineRule="auto"/>
              <w:jc w:val="right"/>
              <w:rPr>
                <w:rFonts w:ascii="GHEA Grapalat" w:hAnsi="GHEA Grapalat"/>
                <w:b/>
                <w:sz w:val="18"/>
                <w:szCs w:val="18"/>
              </w:rPr>
            </w:pPr>
            <w:r w:rsidRPr="0070079A">
              <w:rPr>
                <w:rFonts w:ascii="GHEA Grapalat" w:hAnsi="GHEA Grapalat"/>
                <w:b/>
                <w:sz w:val="18"/>
                <w:szCs w:val="18"/>
              </w:rPr>
              <w:t>116.0</w:t>
            </w:r>
          </w:p>
        </w:tc>
      </w:tr>
      <w:tr w:rsidR="0056386A" w:rsidRPr="00C921DE" w:rsidTr="0070079A">
        <w:tc>
          <w:tcPr>
            <w:tcW w:w="567"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01</w:t>
            </w:r>
          </w:p>
        </w:tc>
        <w:tc>
          <w:tcPr>
            <w:tcW w:w="2694"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Ընդհանուր բնույթի հանրային ծառայություններ</w:t>
            </w:r>
          </w:p>
        </w:tc>
        <w:tc>
          <w:tcPr>
            <w:tcW w:w="992" w:type="dxa"/>
          </w:tcPr>
          <w:p w:rsidR="0056386A" w:rsidRPr="0056386A" w:rsidRDefault="0056386A" w:rsidP="00174A2D">
            <w:pPr>
              <w:spacing w:line="276" w:lineRule="auto"/>
              <w:jc w:val="right"/>
              <w:rPr>
                <w:rFonts w:ascii="GHEA Grapalat" w:hAnsi="GHEA Grapalat" w:cs="Calibri"/>
                <w:sz w:val="18"/>
                <w:szCs w:val="18"/>
              </w:rPr>
            </w:pPr>
            <w:r w:rsidRPr="0056386A">
              <w:rPr>
                <w:rFonts w:ascii="GHEA Grapalat" w:hAnsi="GHEA Grapalat" w:cs="Calibri"/>
                <w:sz w:val="18"/>
                <w:szCs w:val="18"/>
              </w:rPr>
              <w:t>522.5</w:t>
            </w:r>
          </w:p>
        </w:tc>
        <w:tc>
          <w:tcPr>
            <w:tcW w:w="709"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5.5</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724.1</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671.3</w:t>
            </w:r>
          </w:p>
        </w:tc>
        <w:tc>
          <w:tcPr>
            <w:tcW w:w="851"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6.6</w:t>
            </w:r>
          </w:p>
        </w:tc>
        <w:tc>
          <w:tcPr>
            <w:tcW w:w="1417"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92.7</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128.5</w:t>
            </w:r>
          </w:p>
        </w:tc>
      </w:tr>
      <w:tr w:rsidR="0056386A" w:rsidRPr="00C921DE" w:rsidTr="0070079A">
        <w:tc>
          <w:tcPr>
            <w:tcW w:w="567"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02</w:t>
            </w:r>
          </w:p>
        </w:tc>
        <w:tc>
          <w:tcPr>
            <w:tcW w:w="2694"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Պաշտպանություն</w:t>
            </w:r>
          </w:p>
        </w:tc>
        <w:tc>
          <w:tcPr>
            <w:tcW w:w="992" w:type="dxa"/>
          </w:tcPr>
          <w:p w:rsidR="0056386A" w:rsidRPr="0056386A" w:rsidRDefault="0056386A" w:rsidP="00174A2D">
            <w:pPr>
              <w:spacing w:line="276" w:lineRule="auto"/>
              <w:jc w:val="right"/>
              <w:rPr>
                <w:rFonts w:ascii="GHEA Grapalat" w:hAnsi="GHEA Grapalat" w:cs="Calibri"/>
                <w:sz w:val="18"/>
                <w:szCs w:val="18"/>
              </w:rPr>
            </w:pPr>
            <w:r w:rsidRPr="0056386A">
              <w:rPr>
                <w:rFonts w:ascii="GHEA Grapalat" w:hAnsi="GHEA Grapalat" w:cs="Calibri"/>
                <w:sz w:val="18"/>
                <w:szCs w:val="18"/>
              </w:rPr>
              <w:t>525.9</w:t>
            </w:r>
          </w:p>
        </w:tc>
        <w:tc>
          <w:tcPr>
            <w:tcW w:w="709"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5.6</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553.4</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549.0</w:t>
            </w:r>
          </w:p>
        </w:tc>
        <w:tc>
          <w:tcPr>
            <w:tcW w:w="851"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5.4</w:t>
            </w:r>
          </w:p>
        </w:tc>
        <w:tc>
          <w:tcPr>
            <w:tcW w:w="1417"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99.2</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104.4</w:t>
            </w:r>
          </w:p>
        </w:tc>
      </w:tr>
      <w:tr w:rsidR="0056386A" w:rsidRPr="00C921DE" w:rsidTr="0070079A">
        <w:tc>
          <w:tcPr>
            <w:tcW w:w="567"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03</w:t>
            </w:r>
          </w:p>
        </w:tc>
        <w:tc>
          <w:tcPr>
            <w:tcW w:w="2694"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Հասարակական կարգ,  անվտանգություն և դատական գործունեություն</w:t>
            </w:r>
          </w:p>
        </w:tc>
        <w:tc>
          <w:tcPr>
            <w:tcW w:w="992" w:type="dxa"/>
          </w:tcPr>
          <w:p w:rsidR="0056386A" w:rsidRPr="0056386A" w:rsidRDefault="0056386A" w:rsidP="00174A2D">
            <w:pPr>
              <w:spacing w:line="276" w:lineRule="auto"/>
              <w:jc w:val="right"/>
              <w:rPr>
                <w:rFonts w:ascii="GHEA Grapalat" w:hAnsi="GHEA Grapalat" w:cs="Calibri"/>
                <w:sz w:val="18"/>
                <w:szCs w:val="18"/>
              </w:rPr>
            </w:pPr>
            <w:r w:rsidRPr="0056386A">
              <w:rPr>
                <w:rFonts w:ascii="GHEA Grapalat" w:hAnsi="GHEA Grapalat" w:cs="Calibri"/>
                <w:sz w:val="18"/>
                <w:szCs w:val="18"/>
              </w:rPr>
              <w:t>207.6</w:t>
            </w:r>
          </w:p>
        </w:tc>
        <w:tc>
          <w:tcPr>
            <w:tcW w:w="709"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2.2</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236.9</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227.8</w:t>
            </w:r>
          </w:p>
        </w:tc>
        <w:tc>
          <w:tcPr>
            <w:tcW w:w="851"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2.2</w:t>
            </w:r>
          </w:p>
        </w:tc>
        <w:tc>
          <w:tcPr>
            <w:tcW w:w="1417"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96.2</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109.8</w:t>
            </w:r>
          </w:p>
        </w:tc>
      </w:tr>
      <w:tr w:rsidR="0056386A" w:rsidRPr="00C921DE" w:rsidTr="0070079A">
        <w:tc>
          <w:tcPr>
            <w:tcW w:w="567"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04</w:t>
            </w:r>
          </w:p>
        </w:tc>
        <w:tc>
          <w:tcPr>
            <w:tcW w:w="2694"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Տնտեսական հարաբերություններ</w:t>
            </w:r>
          </w:p>
        </w:tc>
        <w:tc>
          <w:tcPr>
            <w:tcW w:w="992" w:type="dxa"/>
          </w:tcPr>
          <w:p w:rsidR="0056386A" w:rsidRPr="0056386A" w:rsidRDefault="0056386A" w:rsidP="00174A2D">
            <w:pPr>
              <w:spacing w:line="276" w:lineRule="auto"/>
              <w:jc w:val="right"/>
              <w:rPr>
                <w:rFonts w:ascii="GHEA Grapalat" w:hAnsi="GHEA Grapalat" w:cs="Calibri"/>
                <w:sz w:val="18"/>
                <w:szCs w:val="18"/>
              </w:rPr>
            </w:pPr>
            <w:r w:rsidRPr="0056386A">
              <w:rPr>
                <w:rFonts w:ascii="GHEA Grapalat" w:hAnsi="GHEA Grapalat" w:cs="Calibri"/>
                <w:sz w:val="18"/>
                <w:szCs w:val="18"/>
              </w:rPr>
              <w:t>199.2</w:t>
            </w:r>
          </w:p>
        </w:tc>
        <w:tc>
          <w:tcPr>
            <w:tcW w:w="709"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2.1</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217.3</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203.7</w:t>
            </w:r>
          </w:p>
        </w:tc>
        <w:tc>
          <w:tcPr>
            <w:tcW w:w="851"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2.0</w:t>
            </w:r>
          </w:p>
        </w:tc>
        <w:tc>
          <w:tcPr>
            <w:tcW w:w="1417"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93.7</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102.3</w:t>
            </w:r>
          </w:p>
        </w:tc>
      </w:tr>
      <w:tr w:rsidR="0056386A" w:rsidRPr="00C921DE" w:rsidTr="0070079A">
        <w:tc>
          <w:tcPr>
            <w:tcW w:w="567"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lastRenderedPageBreak/>
              <w:t>05</w:t>
            </w:r>
          </w:p>
        </w:tc>
        <w:tc>
          <w:tcPr>
            <w:tcW w:w="2694"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Շրջակա  միջավայրի պաշտպանություն</w:t>
            </w:r>
          </w:p>
        </w:tc>
        <w:tc>
          <w:tcPr>
            <w:tcW w:w="992" w:type="dxa"/>
          </w:tcPr>
          <w:p w:rsidR="0056386A" w:rsidRPr="0056386A" w:rsidRDefault="0056386A" w:rsidP="00174A2D">
            <w:pPr>
              <w:spacing w:line="276" w:lineRule="auto"/>
              <w:jc w:val="right"/>
              <w:rPr>
                <w:rFonts w:ascii="GHEA Grapalat" w:hAnsi="GHEA Grapalat" w:cs="Calibri"/>
                <w:sz w:val="18"/>
                <w:szCs w:val="18"/>
              </w:rPr>
            </w:pPr>
            <w:r w:rsidRPr="0056386A">
              <w:rPr>
                <w:rFonts w:ascii="GHEA Grapalat" w:hAnsi="GHEA Grapalat" w:cs="Calibri"/>
                <w:sz w:val="18"/>
                <w:szCs w:val="18"/>
              </w:rPr>
              <w:t>7.7</w:t>
            </w:r>
          </w:p>
        </w:tc>
        <w:tc>
          <w:tcPr>
            <w:tcW w:w="709"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0.1</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13.4</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10.7</w:t>
            </w:r>
          </w:p>
        </w:tc>
        <w:tc>
          <w:tcPr>
            <w:tcW w:w="851"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0.1</w:t>
            </w:r>
          </w:p>
        </w:tc>
        <w:tc>
          <w:tcPr>
            <w:tcW w:w="1417"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80.2</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139.4</w:t>
            </w:r>
          </w:p>
        </w:tc>
      </w:tr>
      <w:tr w:rsidR="0056386A" w:rsidRPr="00C921DE" w:rsidTr="0070079A">
        <w:tc>
          <w:tcPr>
            <w:tcW w:w="567"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06</w:t>
            </w:r>
          </w:p>
        </w:tc>
        <w:tc>
          <w:tcPr>
            <w:tcW w:w="2694"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Բնակարանային շինարարություն և կոմունալ ծառայություններ</w:t>
            </w:r>
          </w:p>
        </w:tc>
        <w:tc>
          <w:tcPr>
            <w:tcW w:w="992" w:type="dxa"/>
          </w:tcPr>
          <w:p w:rsidR="0056386A" w:rsidRPr="0056386A" w:rsidRDefault="0056386A" w:rsidP="00174A2D">
            <w:pPr>
              <w:spacing w:line="276" w:lineRule="auto"/>
              <w:jc w:val="right"/>
              <w:rPr>
                <w:rFonts w:ascii="GHEA Grapalat" w:hAnsi="GHEA Grapalat" w:cs="Calibri"/>
                <w:sz w:val="18"/>
                <w:szCs w:val="18"/>
              </w:rPr>
            </w:pPr>
            <w:r w:rsidRPr="0056386A">
              <w:rPr>
                <w:rFonts w:ascii="GHEA Grapalat" w:hAnsi="GHEA Grapalat" w:cs="Calibri"/>
                <w:sz w:val="18"/>
                <w:szCs w:val="18"/>
              </w:rPr>
              <w:t>10.9</w:t>
            </w:r>
          </w:p>
        </w:tc>
        <w:tc>
          <w:tcPr>
            <w:tcW w:w="709"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0.1</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18.5</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14.5</w:t>
            </w:r>
          </w:p>
        </w:tc>
        <w:tc>
          <w:tcPr>
            <w:tcW w:w="851"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0.1</w:t>
            </w:r>
          </w:p>
        </w:tc>
        <w:tc>
          <w:tcPr>
            <w:tcW w:w="1417"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78.4</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133.3</w:t>
            </w:r>
          </w:p>
        </w:tc>
      </w:tr>
      <w:tr w:rsidR="0056386A" w:rsidRPr="00C921DE" w:rsidTr="0070079A">
        <w:tc>
          <w:tcPr>
            <w:tcW w:w="567"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07</w:t>
            </w:r>
          </w:p>
        </w:tc>
        <w:tc>
          <w:tcPr>
            <w:tcW w:w="2694"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Առողջապահություն</w:t>
            </w:r>
          </w:p>
        </w:tc>
        <w:tc>
          <w:tcPr>
            <w:tcW w:w="992" w:type="dxa"/>
          </w:tcPr>
          <w:p w:rsidR="0056386A" w:rsidRPr="0056386A" w:rsidRDefault="0056386A" w:rsidP="00174A2D">
            <w:pPr>
              <w:spacing w:line="276" w:lineRule="auto"/>
              <w:jc w:val="right"/>
              <w:rPr>
                <w:rFonts w:ascii="GHEA Grapalat" w:hAnsi="GHEA Grapalat" w:cs="Calibri"/>
                <w:sz w:val="18"/>
                <w:szCs w:val="18"/>
              </w:rPr>
            </w:pPr>
            <w:r w:rsidRPr="0056386A">
              <w:rPr>
                <w:rFonts w:ascii="GHEA Grapalat" w:hAnsi="GHEA Grapalat" w:cs="Calibri"/>
                <w:sz w:val="18"/>
                <w:szCs w:val="18"/>
              </w:rPr>
              <w:t>141.3</w:t>
            </w:r>
          </w:p>
        </w:tc>
        <w:tc>
          <w:tcPr>
            <w:tcW w:w="709"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1.5</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169.5</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154.8</w:t>
            </w:r>
          </w:p>
        </w:tc>
        <w:tc>
          <w:tcPr>
            <w:tcW w:w="851"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1.5</w:t>
            </w:r>
          </w:p>
        </w:tc>
        <w:tc>
          <w:tcPr>
            <w:tcW w:w="1417"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91.4</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109.6</w:t>
            </w:r>
          </w:p>
        </w:tc>
      </w:tr>
      <w:tr w:rsidR="0056386A" w:rsidRPr="00C921DE" w:rsidTr="0070079A">
        <w:tc>
          <w:tcPr>
            <w:tcW w:w="567"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08</w:t>
            </w:r>
          </w:p>
        </w:tc>
        <w:tc>
          <w:tcPr>
            <w:tcW w:w="2694"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Հանգիստ, մշակույթ և կրոն</w:t>
            </w:r>
          </w:p>
        </w:tc>
        <w:tc>
          <w:tcPr>
            <w:tcW w:w="992" w:type="dxa"/>
          </w:tcPr>
          <w:p w:rsidR="0056386A" w:rsidRPr="0056386A" w:rsidRDefault="0056386A" w:rsidP="00174A2D">
            <w:pPr>
              <w:spacing w:line="276" w:lineRule="auto"/>
              <w:jc w:val="right"/>
              <w:rPr>
                <w:rFonts w:ascii="GHEA Grapalat" w:hAnsi="GHEA Grapalat" w:cs="Calibri"/>
                <w:sz w:val="18"/>
                <w:szCs w:val="18"/>
              </w:rPr>
            </w:pPr>
            <w:r w:rsidRPr="0056386A">
              <w:rPr>
                <w:rFonts w:ascii="GHEA Grapalat" w:hAnsi="GHEA Grapalat" w:cs="Calibri"/>
                <w:sz w:val="18"/>
                <w:szCs w:val="18"/>
              </w:rPr>
              <w:t>43.3</w:t>
            </w:r>
          </w:p>
        </w:tc>
        <w:tc>
          <w:tcPr>
            <w:tcW w:w="709"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0.5</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44.2</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40.5</w:t>
            </w:r>
          </w:p>
        </w:tc>
        <w:tc>
          <w:tcPr>
            <w:tcW w:w="851"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0.4</w:t>
            </w:r>
          </w:p>
        </w:tc>
        <w:tc>
          <w:tcPr>
            <w:tcW w:w="1417"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91.5</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93.6</w:t>
            </w:r>
          </w:p>
        </w:tc>
      </w:tr>
      <w:tr w:rsidR="0056386A" w:rsidRPr="00C921DE" w:rsidTr="0070079A">
        <w:tc>
          <w:tcPr>
            <w:tcW w:w="567"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09</w:t>
            </w:r>
          </w:p>
        </w:tc>
        <w:tc>
          <w:tcPr>
            <w:tcW w:w="2694"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Կրթություն</w:t>
            </w:r>
          </w:p>
        </w:tc>
        <w:tc>
          <w:tcPr>
            <w:tcW w:w="992" w:type="dxa"/>
          </w:tcPr>
          <w:p w:rsidR="0056386A" w:rsidRPr="0056386A" w:rsidRDefault="0056386A" w:rsidP="00174A2D">
            <w:pPr>
              <w:spacing w:line="276" w:lineRule="auto"/>
              <w:jc w:val="right"/>
              <w:rPr>
                <w:rFonts w:ascii="GHEA Grapalat" w:hAnsi="GHEA Grapalat" w:cs="Calibri"/>
                <w:sz w:val="18"/>
                <w:szCs w:val="18"/>
              </w:rPr>
            </w:pPr>
            <w:r w:rsidRPr="0056386A">
              <w:rPr>
                <w:rFonts w:ascii="GHEA Grapalat" w:hAnsi="GHEA Grapalat" w:cs="Calibri"/>
                <w:sz w:val="18"/>
                <w:szCs w:val="18"/>
              </w:rPr>
              <w:t>183.6</w:t>
            </w:r>
          </w:p>
        </w:tc>
        <w:tc>
          <w:tcPr>
            <w:tcW w:w="709"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1.9</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293.9</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231.0</w:t>
            </w:r>
          </w:p>
        </w:tc>
        <w:tc>
          <w:tcPr>
            <w:tcW w:w="851"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2.3</w:t>
            </w:r>
          </w:p>
        </w:tc>
        <w:tc>
          <w:tcPr>
            <w:tcW w:w="1417"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78.6</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125.8</w:t>
            </w:r>
          </w:p>
        </w:tc>
      </w:tr>
      <w:tr w:rsidR="0056386A" w:rsidRPr="00C921DE" w:rsidTr="0070079A">
        <w:tc>
          <w:tcPr>
            <w:tcW w:w="567"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10</w:t>
            </w:r>
          </w:p>
        </w:tc>
        <w:tc>
          <w:tcPr>
            <w:tcW w:w="2694"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Սոցիալական պաշտպանություն</w:t>
            </w:r>
          </w:p>
        </w:tc>
        <w:tc>
          <w:tcPr>
            <w:tcW w:w="992" w:type="dxa"/>
          </w:tcPr>
          <w:p w:rsidR="0056386A" w:rsidRPr="0056386A" w:rsidRDefault="0056386A" w:rsidP="00174A2D">
            <w:pPr>
              <w:spacing w:line="276" w:lineRule="auto"/>
              <w:jc w:val="right"/>
              <w:rPr>
                <w:rFonts w:ascii="GHEA Grapalat" w:hAnsi="GHEA Grapalat" w:cs="Calibri"/>
                <w:sz w:val="18"/>
                <w:szCs w:val="18"/>
              </w:rPr>
            </w:pPr>
            <w:r w:rsidRPr="0056386A">
              <w:rPr>
                <w:rFonts w:ascii="GHEA Grapalat" w:hAnsi="GHEA Grapalat" w:cs="Calibri"/>
                <w:sz w:val="18"/>
                <w:szCs w:val="18"/>
              </w:rPr>
              <w:t>705.8</w:t>
            </w:r>
          </w:p>
        </w:tc>
        <w:tc>
          <w:tcPr>
            <w:tcW w:w="709"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7.5</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877.7</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851.9</w:t>
            </w:r>
          </w:p>
        </w:tc>
        <w:tc>
          <w:tcPr>
            <w:tcW w:w="851"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8.4</w:t>
            </w:r>
          </w:p>
        </w:tc>
        <w:tc>
          <w:tcPr>
            <w:tcW w:w="1417"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97.1</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120.7</w:t>
            </w:r>
          </w:p>
        </w:tc>
      </w:tr>
    </w:tbl>
    <w:p w:rsidR="00BA7A5B" w:rsidRDefault="00BA7A5B" w:rsidP="007F54C0">
      <w:pPr>
        <w:pStyle w:val="ListParagraph"/>
        <w:spacing w:line="276" w:lineRule="auto"/>
        <w:ind w:left="0" w:firstLine="567"/>
        <w:jc w:val="both"/>
        <w:rPr>
          <w:rFonts w:ascii="GHEA Grapalat" w:hAnsi="GHEA Grapalat" w:cstheme="minorBidi"/>
          <w:noProof/>
          <w:sz w:val="22"/>
          <w:szCs w:val="22"/>
        </w:rPr>
      </w:pPr>
    </w:p>
    <w:p w:rsidR="00BA7A5B" w:rsidRDefault="00D54858" w:rsidP="00856544">
      <w:pPr>
        <w:pStyle w:val="ListParagraph"/>
        <w:spacing w:line="276" w:lineRule="auto"/>
        <w:ind w:left="0" w:firstLine="567"/>
        <w:jc w:val="both"/>
        <w:rPr>
          <w:rFonts w:ascii="GHEA Grapalat" w:hAnsi="GHEA Grapalat" w:cstheme="minorBidi"/>
          <w:noProof/>
          <w:sz w:val="22"/>
          <w:szCs w:val="22"/>
        </w:rPr>
      </w:pPr>
      <w:r>
        <w:rPr>
          <w:rFonts w:ascii="GHEA Grapalat" w:hAnsi="GHEA Grapalat" w:cstheme="minorBidi"/>
          <w:noProof/>
          <w:sz w:val="22"/>
          <w:szCs w:val="22"/>
        </w:rPr>
        <w:t>2023թ. համեմատ պետական բյուջեի ծախսեր</w:t>
      </w:r>
      <w:r w:rsidR="005869AE">
        <w:rPr>
          <w:rFonts w:ascii="GHEA Grapalat" w:hAnsi="GHEA Grapalat" w:cstheme="minorBidi"/>
          <w:noProof/>
          <w:sz w:val="22"/>
          <w:szCs w:val="22"/>
        </w:rPr>
        <w:t xml:space="preserve">ի աճը հիմնականում պայմանավորված է </w:t>
      </w:r>
      <w:r w:rsidR="006F783F">
        <w:rPr>
          <w:rFonts w:ascii="GHEA Grapalat" w:hAnsi="GHEA Grapalat" w:cstheme="minorBidi"/>
          <w:noProof/>
          <w:sz w:val="22"/>
          <w:szCs w:val="22"/>
          <w:lang w:val="hy-AM"/>
        </w:rPr>
        <w:t xml:space="preserve"> վերոնշ</w:t>
      </w:r>
      <w:r w:rsidR="007E4F2D">
        <w:rPr>
          <w:rFonts w:ascii="GHEA Grapalat" w:hAnsi="GHEA Grapalat" w:cstheme="minorBidi"/>
          <w:noProof/>
          <w:sz w:val="22"/>
          <w:szCs w:val="22"/>
          <w:lang w:val="hy-AM"/>
        </w:rPr>
        <w:t xml:space="preserve">յալ 3 </w:t>
      </w:r>
      <w:r w:rsidR="00856544">
        <w:rPr>
          <w:rFonts w:ascii="GHEA Grapalat" w:hAnsi="GHEA Grapalat" w:cstheme="minorBidi"/>
          <w:noProof/>
          <w:sz w:val="22"/>
          <w:szCs w:val="22"/>
        </w:rPr>
        <w:t>ոլորտների ծախսերի աճով:</w:t>
      </w:r>
    </w:p>
    <w:p w:rsidR="00C46789" w:rsidRDefault="00C46789" w:rsidP="00CA2C6B">
      <w:pPr>
        <w:pStyle w:val="ListParagraph"/>
        <w:spacing w:line="276" w:lineRule="auto"/>
        <w:ind w:left="0" w:firstLine="567"/>
        <w:jc w:val="both"/>
        <w:rPr>
          <w:rFonts w:ascii="GHEA Grapalat" w:hAnsi="GHEA Grapalat" w:cstheme="minorBidi"/>
          <w:noProof/>
          <w:sz w:val="22"/>
          <w:szCs w:val="22"/>
        </w:rPr>
      </w:pPr>
      <w:r>
        <w:rPr>
          <w:rFonts w:ascii="GHEA Grapalat" w:hAnsi="GHEA Grapalat" w:cstheme="minorBidi"/>
          <w:noProof/>
          <w:sz w:val="22"/>
          <w:szCs w:val="22"/>
        </w:rPr>
        <w:t>Սոցիալական պաշտպանության ոլորտի ծախսերի աճը նախորդ տարվա համեմատ կազմել է 20.7% (146.1 մլրդ դրամ), որը հիմնականում</w:t>
      </w:r>
      <w:r w:rsidR="00F868B0">
        <w:rPr>
          <w:rFonts w:ascii="GHEA Grapalat" w:hAnsi="GHEA Grapalat" w:cstheme="minorBidi"/>
          <w:noProof/>
          <w:sz w:val="22"/>
          <w:szCs w:val="22"/>
        </w:rPr>
        <w:t xml:space="preserve"> արձանագրվել է «Ծերություն» և «</w:t>
      </w:r>
      <w:r w:rsidR="00F868B0" w:rsidRPr="00E020DA">
        <w:rPr>
          <w:rFonts w:ascii="GHEA Grapalat" w:hAnsi="GHEA Grapalat" w:cstheme="minorBidi"/>
          <w:noProof/>
          <w:sz w:val="22"/>
          <w:szCs w:val="22"/>
        </w:rPr>
        <w:t>Սոցիալական պաշտպանությանը տրամադրվող օժանդակ ծառայություններ (այլ դասերի չպատկանող)</w:t>
      </w:r>
      <w:r w:rsidR="00F868B0">
        <w:rPr>
          <w:rFonts w:ascii="GHEA Grapalat" w:hAnsi="GHEA Grapalat" w:cstheme="minorBidi"/>
          <w:noProof/>
          <w:sz w:val="22"/>
          <w:szCs w:val="22"/>
        </w:rPr>
        <w:t>» դասերում:</w:t>
      </w:r>
      <w:r>
        <w:rPr>
          <w:rFonts w:ascii="GHEA Grapalat" w:hAnsi="GHEA Grapalat" w:cstheme="minorBidi"/>
          <w:noProof/>
          <w:sz w:val="22"/>
          <w:szCs w:val="22"/>
        </w:rPr>
        <w:t xml:space="preserve"> </w:t>
      </w:r>
      <w:r w:rsidR="00F868B0">
        <w:rPr>
          <w:rFonts w:ascii="GHEA Grapalat" w:hAnsi="GHEA Grapalat" w:cstheme="minorBidi"/>
          <w:noProof/>
          <w:sz w:val="22"/>
          <w:szCs w:val="22"/>
        </w:rPr>
        <w:t xml:space="preserve">Ծերության դասի ծախսերը կազմել են 486.7 մլրդ դրամ՝ </w:t>
      </w:r>
      <w:r w:rsidR="00BE2A39">
        <w:rPr>
          <w:rFonts w:ascii="GHEA Grapalat" w:hAnsi="GHEA Grapalat" w:cstheme="minorBidi"/>
          <w:noProof/>
          <w:sz w:val="22"/>
          <w:szCs w:val="22"/>
        </w:rPr>
        <w:t>19.2%-ով (93.5 մլրդ դրամով) գերազանցելով նախորդ տարվա ցուցանի</w:t>
      </w:r>
      <w:r w:rsidR="00052002">
        <w:rPr>
          <w:rFonts w:ascii="GHEA Grapalat" w:hAnsi="GHEA Grapalat" w:cstheme="minorBidi"/>
          <w:noProof/>
          <w:sz w:val="22"/>
          <w:szCs w:val="22"/>
        </w:rPr>
        <w:t>շը՝ հիմնականում</w:t>
      </w:r>
      <w:r w:rsidR="00F868B0">
        <w:rPr>
          <w:rFonts w:ascii="GHEA Grapalat" w:hAnsi="GHEA Grapalat" w:cstheme="minorBidi"/>
          <w:noProof/>
          <w:sz w:val="22"/>
          <w:szCs w:val="22"/>
        </w:rPr>
        <w:t xml:space="preserve"> </w:t>
      </w:r>
      <w:r w:rsidR="00052002">
        <w:rPr>
          <w:rFonts w:ascii="GHEA Grapalat" w:hAnsi="GHEA Grapalat" w:cstheme="minorBidi"/>
          <w:noProof/>
          <w:sz w:val="22"/>
          <w:szCs w:val="22"/>
        </w:rPr>
        <w:t>պայմանավորված «</w:t>
      </w:r>
      <w:r w:rsidR="00052002" w:rsidRPr="00052002">
        <w:rPr>
          <w:rFonts w:ascii="GHEA Grapalat" w:hAnsi="GHEA Grapalat" w:cstheme="minorBidi"/>
          <w:noProof/>
          <w:sz w:val="22"/>
          <w:szCs w:val="22"/>
        </w:rPr>
        <w:t>Կենսաթոշակային ապահովություն</w:t>
      </w:r>
      <w:r w:rsidR="00052002">
        <w:rPr>
          <w:rFonts w:ascii="GHEA Grapalat" w:hAnsi="GHEA Grapalat" w:cstheme="minorBidi"/>
          <w:noProof/>
          <w:sz w:val="22"/>
          <w:szCs w:val="22"/>
        </w:rPr>
        <w:t>» և «</w:t>
      </w:r>
      <w:r w:rsidR="00052002" w:rsidRPr="00052002">
        <w:rPr>
          <w:rFonts w:ascii="GHEA Grapalat" w:hAnsi="GHEA Grapalat" w:cstheme="minorBidi"/>
          <w:noProof/>
          <w:sz w:val="22"/>
          <w:szCs w:val="22"/>
        </w:rPr>
        <w:t>Սոցիալական ապահովություն</w:t>
      </w:r>
      <w:r w:rsidR="00052002">
        <w:rPr>
          <w:rFonts w:ascii="GHEA Grapalat" w:hAnsi="GHEA Grapalat" w:cstheme="minorBidi"/>
          <w:noProof/>
          <w:sz w:val="22"/>
          <w:szCs w:val="22"/>
        </w:rPr>
        <w:t>» ծրագրերի ծախսերի աճով: «</w:t>
      </w:r>
      <w:r w:rsidR="00052002" w:rsidRPr="00E020DA">
        <w:rPr>
          <w:rFonts w:ascii="GHEA Grapalat" w:hAnsi="GHEA Grapalat" w:cstheme="minorBidi"/>
          <w:noProof/>
          <w:sz w:val="22"/>
          <w:szCs w:val="22"/>
        </w:rPr>
        <w:t>Սոցիալական պաշտպանությանը տրամադրվող օժանդակ ծառայություններ (այլ դասերի չպատկանող)</w:t>
      </w:r>
      <w:r w:rsidR="00052002">
        <w:rPr>
          <w:rFonts w:ascii="GHEA Grapalat" w:hAnsi="GHEA Grapalat" w:cstheme="minorBidi"/>
          <w:noProof/>
          <w:sz w:val="22"/>
          <w:szCs w:val="22"/>
        </w:rPr>
        <w:t xml:space="preserve">» դասի ծախսերը կազմել են </w:t>
      </w:r>
      <w:r w:rsidR="002273E9">
        <w:rPr>
          <w:rFonts w:ascii="GHEA Grapalat" w:hAnsi="GHEA Grapalat" w:cstheme="minorBidi"/>
          <w:noProof/>
          <w:sz w:val="22"/>
          <w:szCs w:val="22"/>
        </w:rPr>
        <w:t>122.7 մլրդ դրամ</w:t>
      </w:r>
      <w:r w:rsidR="00CA2C6B">
        <w:rPr>
          <w:rFonts w:ascii="GHEA Grapalat" w:hAnsi="GHEA Grapalat" w:cstheme="minorBidi"/>
          <w:noProof/>
          <w:sz w:val="22"/>
          <w:szCs w:val="22"/>
        </w:rPr>
        <w:t>՝</w:t>
      </w:r>
      <w:r w:rsidR="00052002">
        <w:rPr>
          <w:rFonts w:ascii="GHEA Grapalat" w:hAnsi="GHEA Grapalat" w:cstheme="minorBidi"/>
          <w:noProof/>
          <w:sz w:val="22"/>
          <w:szCs w:val="22"/>
        </w:rPr>
        <w:t xml:space="preserve"> 39.7%</w:t>
      </w:r>
      <w:r w:rsidR="00CA2C6B">
        <w:rPr>
          <w:rFonts w:ascii="GHEA Grapalat" w:hAnsi="GHEA Grapalat" w:cstheme="minorBidi"/>
          <w:noProof/>
          <w:sz w:val="22"/>
          <w:szCs w:val="22"/>
        </w:rPr>
        <w:t>-ով (34.9 մլրդ դրամով) գերազանցելով նախորդ տարվա ցուցանիշը՝ հիմնականում պայմանավորված «</w:t>
      </w:r>
      <w:r w:rsidR="00A867DA" w:rsidRPr="00A867DA">
        <w:rPr>
          <w:rFonts w:ascii="GHEA Grapalat" w:hAnsi="GHEA Grapalat" w:cstheme="minorBidi"/>
          <w:noProof/>
          <w:sz w:val="22"/>
          <w:szCs w:val="22"/>
        </w:rPr>
        <w:t>Ճգնաժամերի հակազդման և արտակարգ իրավիճակների հետևանքների նվազեցման և վերացման նպատակով</w:t>
      </w:r>
      <w:r w:rsidR="00824459">
        <w:rPr>
          <w:rFonts w:ascii="GHEA Grapalat" w:hAnsi="GHEA Grapalat" w:cstheme="minorBidi"/>
          <w:noProof/>
          <w:sz w:val="22"/>
          <w:szCs w:val="22"/>
        </w:rPr>
        <w:t>՝</w:t>
      </w:r>
      <w:r w:rsidR="00A867DA" w:rsidRPr="00A867DA">
        <w:rPr>
          <w:rFonts w:ascii="GHEA Grapalat" w:hAnsi="GHEA Grapalat" w:cstheme="minorBidi"/>
          <w:noProof/>
          <w:sz w:val="22"/>
          <w:szCs w:val="22"/>
        </w:rPr>
        <w:t xml:space="preserve"> առանձին սոցիալական խմբերին տրվող սոցիալական աջակցություն</w:t>
      </w:r>
      <w:r w:rsidR="00CA2C6B">
        <w:rPr>
          <w:rFonts w:ascii="GHEA Grapalat" w:hAnsi="GHEA Grapalat" w:cstheme="minorBidi"/>
          <w:noProof/>
          <w:sz w:val="22"/>
          <w:szCs w:val="22"/>
        </w:rPr>
        <w:t>» և «</w:t>
      </w:r>
      <w:r w:rsidR="00A867DA" w:rsidRPr="00A867DA">
        <w:rPr>
          <w:rFonts w:ascii="GHEA Grapalat" w:hAnsi="GHEA Grapalat" w:cstheme="minorBidi"/>
          <w:noProof/>
          <w:sz w:val="22"/>
          <w:szCs w:val="22"/>
        </w:rPr>
        <w:t>Աջակցություն փախստականների ինտեգրմանը</w:t>
      </w:r>
      <w:r w:rsidR="00CA2C6B">
        <w:rPr>
          <w:rFonts w:ascii="GHEA Grapalat" w:hAnsi="GHEA Grapalat" w:cstheme="minorBidi"/>
          <w:noProof/>
          <w:sz w:val="22"/>
          <w:szCs w:val="22"/>
        </w:rPr>
        <w:t>» ծրագրերի ծախսերի աճով:</w:t>
      </w:r>
    </w:p>
    <w:p w:rsidR="00BA7A5B" w:rsidRDefault="00E87A7F" w:rsidP="00E577A7">
      <w:pPr>
        <w:pStyle w:val="ListParagraph"/>
        <w:spacing w:line="276" w:lineRule="auto"/>
        <w:ind w:left="0" w:firstLine="567"/>
        <w:jc w:val="both"/>
        <w:rPr>
          <w:rFonts w:ascii="GHEA Grapalat" w:hAnsi="GHEA Grapalat" w:cstheme="minorBidi"/>
          <w:noProof/>
          <w:sz w:val="22"/>
          <w:szCs w:val="22"/>
        </w:rPr>
      </w:pPr>
      <w:r>
        <w:rPr>
          <w:rFonts w:ascii="GHEA Grapalat" w:hAnsi="GHEA Grapalat" w:cstheme="minorBidi"/>
          <w:noProof/>
          <w:sz w:val="22"/>
          <w:szCs w:val="22"/>
        </w:rPr>
        <w:t>Ընդհանուր բնույթի հանրային ծառայությունների</w:t>
      </w:r>
      <w:r w:rsidR="003E4ACD">
        <w:rPr>
          <w:rFonts w:ascii="GHEA Grapalat" w:hAnsi="GHEA Grapalat" w:cstheme="minorBidi"/>
          <w:noProof/>
          <w:sz w:val="22"/>
          <w:szCs w:val="22"/>
        </w:rPr>
        <w:t xml:space="preserve"> ծախսերի աճը նախորդ տարվա համեմատ կազմել է</w:t>
      </w:r>
      <w:r w:rsidR="00230E28">
        <w:rPr>
          <w:rFonts w:ascii="GHEA Grapalat" w:hAnsi="GHEA Grapalat" w:cstheme="minorBidi"/>
          <w:noProof/>
          <w:sz w:val="22"/>
          <w:szCs w:val="22"/>
        </w:rPr>
        <w:t xml:space="preserve"> 28.5% (148.7 մլրդ դրամ), իսկ </w:t>
      </w:r>
      <w:r w:rsidR="00230E28" w:rsidRPr="00D5751C">
        <w:rPr>
          <w:rFonts w:ascii="GHEA Grapalat" w:hAnsi="GHEA Grapalat" w:cstheme="minorBidi"/>
          <w:noProof/>
          <w:sz w:val="22"/>
          <w:szCs w:val="22"/>
          <w:lang w:val="hy-AM"/>
        </w:rPr>
        <w:t>առանց</w:t>
      </w:r>
      <w:r w:rsidR="00230E28">
        <w:rPr>
          <w:rFonts w:ascii="GHEA Grapalat" w:hAnsi="GHEA Grapalat" w:cstheme="minorBidi"/>
          <w:noProof/>
          <w:sz w:val="22"/>
          <w:szCs w:val="22"/>
        </w:rPr>
        <w:t xml:space="preserve"> 2024թ.</w:t>
      </w:r>
      <w:r w:rsidR="00230E28" w:rsidRPr="00D5751C">
        <w:rPr>
          <w:rFonts w:ascii="GHEA Grapalat" w:hAnsi="GHEA Grapalat" w:cstheme="minorBidi"/>
          <w:noProof/>
          <w:sz w:val="22"/>
          <w:szCs w:val="22"/>
          <w:lang w:val="hy-AM"/>
        </w:rPr>
        <w:t xml:space="preserve"> հիպոտեկային վարկերի վճարված տոկոսների վերադարձված գումարների</w:t>
      </w:r>
      <w:r w:rsidR="00230E28">
        <w:rPr>
          <w:rFonts w:ascii="GHEA Grapalat" w:hAnsi="GHEA Grapalat" w:cstheme="minorBidi"/>
          <w:noProof/>
          <w:sz w:val="22"/>
          <w:szCs w:val="22"/>
        </w:rPr>
        <w:t>՝</w:t>
      </w:r>
      <w:r w:rsidR="003E4ACD">
        <w:rPr>
          <w:rFonts w:ascii="GHEA Grapalat" w:hAnsi="GHEA Grapalat" w:cstheme="minorBidi"/>
          <w:noProof/>
          <w:sz w:val="22"/>
          <w:szCs w:val="22"/>
        </w:rPr>
        <w:t xml:space="preserve"> 15.3% (80.2 մլրդ դրամ)</w:t>
      </w:r>
      <w:r w:rsidR="00230E28">
        <w:rPr>
          <w:rFonts w:ascii="GHEA Grapalat" w:hAnsi="GHEA Grapalat" w:cstheme="minorBidi"/>
          <w:noProof/>
          <w:sz w:val="22"/>
          <w:szCs w:val="22"/>
        </w:rPr>
        <w:t xml:space="preserve">: </w:t>
      </w:r>
      <w:r w:rsidR="00946013">
        <w:rPr>
          <w:rFonts w:ascii="GHEA Grapalat" w:hAnsi="GHEA Grapalat" w:cstheme="minorBidi"/>
          <w:noProof/>
          <w:sz w:val="22"/>
          <w:szCs w:val="22"/>
          <w:lang w:val="hy-AM"/>
        </w:rPr>
        <w:t xml:space="preserve">Առանց </w:t>
      </w:r>
      <w:r w:rsidR="0073316F">
        <w:rPr>
          <w:rFonts w:ascii="GHEA Grapalat" w:hAnsi="GHEA Grapalat" w:cstheme="minorBidi"/>
          <w:noProof/>
          <w:sz w:val="22"/>
          <w:szCs w:val="22"/>
        </w:rPr>
        <w:t>նշված գումարների</w:t>
      </w:r>
      <w:r w:rsidR="00946013">
        <w:rPr>
          <w:rFonts w:ascii="GHEA Grapalat" w:hAnsi="GHEA Grapalat" w:cstheme="minorBidi"/>
          <w:noProof/>
          <w:sz w:val="22"/>
          <w:szCs w:val="22"/>
          <w:lang w:val="hy-AM"/>
        </w:rPr>
        <w:t xml:space="preserve"> վերադարձի</w:t>
      </w:r>
      <w:r w:rsidR="0073316F">
        <w:rPr>
          <w:rFonts w:ascii="GHEA Grapalat" w:hAnsi="GHEA Grapalat" w:cstheme="minorBidi"/>
          <w:noProof/>
          <w:sz w:val="22"/>
          <w:szCs w:val="22"/>
        </w:rPr>
        <w:t>՝ ծախսերի</w:t>
      </w:r>
      <w:r w:rsidR="00946013">
        <w:rPr>
          <w:rFonts w:ascii="GHEA Grapalat" w:hAnsi="GHEA Grapalat" w:cstheme="minorBidi"/>
          <w:noProof/>
          <w:sz w:val="22"/>
          <w:szCs w:val="22"/>
          <w:lang w:val="hy-AM"/>
        </w:rPr>
        <w:t xml:space="preserve"> ա</w:t>
      </w:r>
      <w:r w:rsidR="00230E28">
        <w:rPr>
          <w:rFonts w:ascii="GHEA Grapalat" w:hAnsi="GHEA Grapalat" w:cstheme="minorBidi"/>
          <w:noProof/>
          <w:sz w:val="22"/>
          <w:szCs w:val="22"/>
        </w:rPr>
        <w:t>ճը</w:t>
      </w:r>
      <w:r w:rsidR="003E4ACD">
        <w:rPr>
          <w:rFonts w:ascii="GHEA Grapalat" w:hAnsi="GHEA Grapalat" w:cstheme="minorBidi"/>
          <w:noProof/>
          <w:sz w:val="22"/>
          <w:szCs w:val="22"/>
        </w:rPr>
        <w:t xml:space="preserve"> հիմնականում արձանագրվել է «</w:t>
      </w:r>
      <w:r w:rsidR="00230E28" w:rsidRPr="00230E28">
        <w:rPr>
          <w:rFonts w:ascii="GHEA Grapalat" w:hAnsi="GHEA Grapalat" w:cstheme="minorBidi"/>
          <w:noProof/>
          <w:sz w:val="22"/>
          <w:szCs w:val="22"/>
        </w:rPr>
        <w:t>Պետական պարտքի գծով գործառնություններ</w:t>
      </w:r>
      <w:r w:rsidR="003E4ACD">
        <w:rPr>
          <w:rFonts w:ascii="GHEA Grapalat" w:hAnsi="GHEA Grapalat" w:cstheme="minorBidi"/>
          <w:noProof/>
          <w:sz w:val="22"/>
          <w:szCs w:val="22"/>
        </w:rPr>
        <w:t>»</w:t>
      </w:r>
      <w:r w:rsidR="00230E28">
        <w:rPr>
          <w:rFonts w:ascii="GHEA Grapalat" w:hAnsi="GHEA Grapalat" w:cstheme="minorBidi"/>
          <w:noProof/>
          <w:sz w:val="22"/>
          <w:szCs w:val="22"/>
        </w:rPr>
        <w:t>, «</w:t>
      </w:r>
      <w:r w:rsidR="00230E28" w:rsidRPr="00230E28">
        <w:rPr>
          <w:rFonts w:ascii="GHEA Grapalat" w:hAnsi="GHEA Grapalat" w:cstheme="minorBidi"/>
          <w:noProof/>
          <w:sz w:val="22"/>
          <w:szCs w:val="22"/>
        </w:rPr>
        <w:t>Կառավարության տարբեր մակարդակների միջև իրականացվող ընդհանուր բնույթի տրանսֆերտներ</w:t>
      </w:r>
      <w:r w:rsidR="00230E28">
        <w:rPr>
          <w:rFonts w:ascii="GHEA Grapalat" w:hAnsi="GHEA Grapalat" w:cstheme="minorBidi"/>
          <w:noProof/>
          <w:sz w:val="22"/>
          <w:szCs w:val="22"/>
        </w:rPr>
        <w:t>»</w:t>
      </w:r>
      <w:r w:rsidR="003E4ACD">
        <w:rPr>
          <w:rFonts w:ascii="GHEA Grapalat" w:hAnsi="GHEA Grapalat" w:cstheme="minorBidi"/>
          <w:noProof/>
          <w:sz w:val="22"/>
          <w:szCs w:val="22"/>
        </w:rPr>
        <w:t xml:space="preserve"> և «</w:t>
      </w:r>
      <w:r w:rsidR="00467E70" w:rsidRPr="00467E70">
        <w:rPr>
          <w:rFonts w:ascii="GHEA Grapalat" w:hAnsi="GHEA Grapalat" w:cstheme="minorBidi"/>
          <w:noProof/>
          <w:sz w:val="22"/>
          <w:szCs w:val="22"/>
        </w:rPr>
        <w:t>Ընդհանուր բնույթի հետազոտական աշխատանք</w:t>
      </w:r>
      <w:r w:rsidR="003E4ACD">
        <w:rPr>
          <w:rFonts w:ascii="GHEA Grapalat" w:hAnsi="GHEA Grapalat" w:cstheme="minorBidi"/>
          <w:noProof/>
          <w:sz w:val="22"/>
          <w:szCs w:val="22"/>
        </w:rPr>
        <w:t>» դասերում:</w:t>
      </w:r>
      <w:r w:rsidR="009C758B">
        <w:rPr>
          <w:rFonts w:ascii="GHEA Grapalat" w:hAnsi="GHEA Grapalat" w:cstheme="minorBidi"/>
          <w:noProof/>
          <w:sz w:val="22"/>
          <w:szCs w:val="22"/>
        </w:rPr>
        <w:t xml:space="preserve"> «</w:t>
      </w:r>
      <w:r w:rsidR="009C758B" w:rsidRPr="00230E28">
        <w:rPr>
          <w:rFonts w:ascii="GHEA Grapalat" w:hAnsi="GHEA Grapalat" w:cstheme="minorBidi"/>
          <w:noProof/>
          <w:sz w:val="22"/>
          <w:szCs w:val="22"/>
        </w:rPr>
        <w:t>Պետական պարտքի գծով գործառնություններ</w:t>
      </w:r>
      <w:r w:rsidR="009C758B">
        <w:rPr>
          <w:rFonts w:ascii="GHEA Grapalat" w:hAnsi="GHEA Grapalat" w:cstheme="minorBidi"/>
          <w:noProof/>
          <w:sz w:val="22"/>
          <w:szCs w:val="22"/>
        </w:rPr>
        <w:t>»</w:t>
      </w:r>
      <w:r w:rsidR="00E577A7">
        <w:rPr>
          <w:rFonts w:ascii="GHEA Grapalat" w:hAnsi="GHEA Grapalat" w:cstheme="minorBidi"/>
          <w:noProof/>
          <w:sz w:val="22"/>
          <w:szCs w:val="22"/>
        </w:rPr>
        <w:t xml:space="preserve"> դասի ծախսերը կազմել են </w:t>
      </w:r>
      <w:r w:rsidR="00946013">
        <w:rPr>
          <w:rFonts w:ascii="GHEA Grapalat" w:hAnsi="GHEA Grapalat" w:cstheme="minorBidi"/>
          <w:noProof/>
          <w:sz w:val="22"/>
          <w:szCs w:val="22"/>
        </w:rPr>
        <w:t>313.6</w:t>
      </w:r>
      <w:r w:rsidR="00E577A7">
        <w:rPr>
          <w:rFonts w:ascii="GHEA Grapalat" w:hAnsi="GHEA Grapalat" w:cstheme="minorBidi"/>
          <w:noProof/>
          <w:sz w:val="22"/>
          <w:szCs w:val="22"/>
        </w:rPr>
        <w:t xml:space="preserve"> մլրդ դրամ՝ 23.7%-ով (60.2 մլրդ դրամով) գերազանցելով նախորդ տարվա ցուցանիշը՝ պայմանավորված ներքին պարտքի սպասարկման ծախսերի աճով: «</w:t>
      </w:r>
      <w:r w:rsidR="00E577A7" w:rsidRPr="00230E28">
        <w:rPr>
          <w:rFonts w:ascii="GHEA Grapalat" w:hAnsi="GHEA Grapalat" w:cstheme="minorBidi"/>
          <w:noProof/>
          <w:sz w:val="22"/>
          <w:szCs w:val="22"/>
        </w:rPr>
        <w:t>Կառավարության տարբեր մակարդակների միջև իրականացվող ընդհանուր բնույթի տրանսֆերտներ</w:t>
      </w:r>
      <w:r w:rsidR="00E577A7">
        <w:rPr>
          <w:rFonts w:ascii="GHEA Grapalat" w:hAnsi="GHEA Grapalat" w:cstheme="minorBidi"/>
          <w:noProof/>
          <w:sz w:val="22"/>
          <w:szCs w:val="22"/>
        </w:rPr>
        <w:t xml:space="preserve">» դասին 2024թ. տրամադրվել է </w:t>
      </w:r>
      <w:r w:rsidR="00FC31DE">
        <w:rPr>
          <w:rFonts w:ascii="GHEA Grapalat" w:hAnsi="GHEA Grapalat" w:cstheme="minorBidi"/>
          <w:noProof/>
          <w:sz w:val="22"/>
          <w:szCs w:val="22"/>
        </w:rPr>
        <w:t>114.5 մլրդ դրամ, որը 11.6%-ով (13.3 մլրդ դրամով) գերազանցել է նախորդ տարվա ցուցանիշը՝ հիմնականում պայմանավորված</w:t>
      </w:r>
      <w:r w:rsidR="00F04C42">
        <w:rPr>
          <w:rFonts w:ascii="GHEA Grapalat" w:hAnsi="GHEA Grapalat" w:cstheme="minorBidi"/>
          <w:noProof/>
          <w:sz w:val="22"/>
          <w:szCs w:val="22"/>
        </w:rPr>
        <w:t xml:space="preserve"> պ</w:t>
      </w:r>
      <w:r w:rsidR="00F04C42" w:rsidRPr="00F04C42">
        <w:rPr>
          <w:rFonts w:ascii="GHEA Grapalat" w:hAnsi="GHEA Grapalat" w:cstheme="minorBidi"/>
          <w:noProof/>
          <w:sz w:val="22"/>
          <w:szCs w:val="22"/>
        </w:rPr>
        <w:t>ետական բյուջեից համայնքների բյուջեներին ֆինանսական համահարթեցման սկզբունքով տրվող դոտացիաներ</w:t>
      </w:r>
      <w:r w:rsidR="00F04C42">
        <w:rPr>
          <w:rFonts w:ascii="GHEA Grapalat" w:hAnsi="GHEA Grapalat" w:cstheme="minorBidi"/>
          <w:noProof/>
          <w:sz w:val="22"/>
          <w:szCs w:val="22"/>
        </w:rPr>
        <w:t>ի</w:t>
      </w:r>
      <w:r w:rsidR="00617D2C">
        <w:rPr>
          <w:rFonts w:ascii="GHEA Grapalat" w:hAnsi="GHEA Grapalat" w:cstheme="minorBidi"/>
          <w:noProof/>
          <w:sz w:val="22"/>
          <w:szCs w:val="22"/>
        </w:rPr>
        <w:t xml:space="preserve">, կապիտալ սուբվենցիաների և համայնքներին </w:t>
      </w:r>
      <w:r w:rsidR="008C6633">
        <w:rPr>
          <w:rFonts w:ascii="GHEA Grapalat" w:hAnsi="GHEA Grapalat" w:cstheme="minorBidi"/>
          <w:noProof/>
          <w:sz w:val="22"/>
          <w:szCs w:val="22"/>
          <w:lang w:val="hy-AM"/>
        </w:rPr>
        <w:t>տ</w:t>
      </w:r>
      <w:r w:rsidR="00617D2C">
        <w:rPr>
          <w:rFonts w:ascii="GHEA Grapalat" w:hAnsi="GHEA Grapalat" w:cstheme="minorBidi"/>
          <w:noProof/>
          <w:sz w:val="22"/>
          <w:szCs w:val="22"/>
        </w:rPr>
        <w:t>րամադրվող այլ դրամաշնորհների</w:t>
      </w:r>
      <w:r w:rsidR="00F04C42">
        <w:rPr>
          <w:rFonts w:ascii="GHEA Grapalat" w:hAnsi="GHEA Grapalat" w:cstheme="minorBidi"/>
          <w:noProof/>
          <w:sz w:val="22"/>
          <w:szCs w:val="22"/>
        </w:rPr>
        <w:t xml:space="preserve"> աճով:</w:t>
      </w:r>
      <w:r w:rsidR="00FC31DE">
        <w:rPr>
          <w:rFonts w:ascii="GHEA Grapalat" w:hAnsi="GHEA Grapalat" w:cstheme="minorBidi"/>
          <w:noProof/>
          <w:sz w:val="22"/>
          <w:szCs w:val="22"/>
        </w:rPr>
        <w:t xml:space="preserve"> </w:t>
      </w:r>
      <w:r w:rsidR="00163422">
        <w:rPr>
          <w:rFonts w:ascii="GHEA Grapalat" w:hAnsi="GHEA Grapalat" w:cstheme="minorBidi"/>
          <w:noProof/>
          <w:sz w:val="22"/>
          <w:szCs w:val="22"/>
        </w:rPr>
        <w:t>«</w:t>
      </w:r>
      <w:r w:rsidR="00163422" w:rsidRPr="00467E70">
        <w:rPr>
          <w:rFonts w:ascii="GHEA Grapalat" w:hAnsi="GHEA Grapalat" w:cstheme="minorBidi"/>
          <w:noProof/>
          <w:sz w:val="22"/>
          <w:szCs w:val="22"/>
        </w:rPr>
        <w:t>Ընդհանուր բնույթի հետազոտական աշխատանք</w:t>
      </w:r>
      <w:r w:rsidR="00163422">
        <w:rPr>
          <w:rFonts w:ascii="GHEA Grapalat" w:hAnsi="GHEA Grapalat" w:cstheme="minorBidi"/>
          <w:noProof/>
          <w:sz w:val="22"/>
          <w:szCs w:val="22"/>
        </w:rPr>
        <w:t>»</w:t>
      </w:r>
      <w:r w:rsidR="00F04C42">
        <w:rPr>
          <w:rFonts w:ascii="GHEA Grapalat" w:hAnsi="GHEA Grapalat" w:cstheme="minorBidi"/>
          <w:noProof/>
          <w:sz w:val="22"/>
          <w:szCs w:val="22"/>
        </w:rPr>
        <w:t xml:space="preserve"> դասի ծախսերը կազմել են 24.8 մլրդ դրամ՝ 54.7%-ով (8.8 մլրդ դրամով) գերազանցելով նախորդ տարվա ցուցանիշը: Աճը պայմանավորված է </w:t>
      </w:r>
      <w:r w:rsidR="00163422" w:rsidRPr="00163422">
        <w:rPr>
          <w:rFonts w:ascii="GHEA Grapalat" w:hAnsi="GHEA Grapalat" w:cstheme="minorBidi"/>
          <w:noProof/>
          <w:sz w:val="22"/>
          <w:szCs w:val="22"/>
        </w:rPr>
        <w:t>Գիտական և գիտատեխն</w:t>
      </w:r>
      <w:r w:rsidR="00F04C42">
        <w:rPr>
          <w:rFonts w:ascii="GHEA Grapalat" w:hAnsi="GHEA Grapalat" w:cstheme="minorBidi"/>
          <w:noProof/>
          <w:sz w:val="22"/>
          <w:szCs w:val="22"/>
        </w:rPr>
        <w:t>իկական հետազոտությունների ծրագրի շրջանակներում կատարված ծախսերի աճով:</w:t>
      </w:r>
    </w:p>
    <w:p w:rsidR="00BA7A5B" w:rsidRDefault="00B34AD9" w:rsidP="007F54C0">
      <w:pPr>
        <w:pStyle w:val="ListParagraph"/>
        <w:spacing w:line="276" w:lineRule="auto"/>
        <w:ind w:left="0" w:firstLine="567"/>
        <w:jc w:val="both"/>
        <w:rPr>
          <w:rFonts w:ascii="GHEA Grapalat" w:hAnsi="GHEA Grapalat" w:cstheme="minorBidi"/>
          <w:noProof/>
          <w:sz w:val="22"/>
          <w:szCs w:val="22"/>
        </w:rPr>
      </w:pPr>
      <w:r>
        <w:rPr>
          <w:rFonts w:ascii="GHEA Grapalat" w:hAnsi="GHEA Grapalat" w:cstheme="minorBidi"/>
          <w:noProof/>
          <w:sz w:val="22"/>
          <w:szCs w:val="22"/>
        </w:rPr>
        <w:lastRenderedPageBreak/>
        <w:t>Կ</w:t>
      </w:r>
      <w:r w:rsidR="00163422">
        <w:rPr>
          <w:rFonts w:ascii="GHEA Grapalat" w:hAnsi="GHEA Grapalat" w:cstheme="minorBidi"/>
          <w:noProof/>
          <w:sz w:val="22"/>
          <w:szCs w:val="22"/>
        </w:rPr>
        <w:t>րթության ոլորտ</w:t>
      </w:r>
      <w:r w:rsidR="00E32A28">
        <w:rPr>
          <w:rFonts w:ascii="GHEA Grapalat" w:hAnsi="GHEA Grapalat" w:cstheme="minorBidi"/>
          <w:noProof/>
          <w:sz w:val="22"/>
          <w:szCs w:val="22"/>
        </w:rPr>
        <w:t>ի</w:t>
      </w:r>
      <w:r w:rsidR="00FA4306">
        <w:rPr>
          <w:rFonts w:ascii="GHEA Grapalat" w:hAnsi="GHEA Grapalat" w:cstheme="minorBidi"/>
          <w:noProof/>
          <w:sz w:val="22"/>
          <w:szCs w:val="22"/>
        </w:rPr>
        <w:t xml:space="preserve"> </w:t>
      </w:r>
      <w:r w:rsidR="00E32A28">
        <w:rPr>
          <w:rFonts w:ascii="GHEA Grapalat" w:hAnsi="GHEA Grapalat" w:cstheme="minorBidi"/>
          <w:noProof/>
          <w:sz w:val="22"/>
          <w:szCs w:val="22"/>
        </w:rPr>
        <w:t>ծախսերի աճը նախորդ տարվա համեմատ կազմել է 2</w:t>
      </w:r>
      <w:r w:rsidR="001F2100">
        <w:rPr>
          <w:rFonts w:ascii="GHEA Grapalat" w:hAnsi="GHEA Grapalat" w:cstheme="minorBidi"/>
          <w:noProof/>
          <w:sz w:val="22"/>
          <w:szCs w:val="22"/>
        </w:rPr>
        <w:t>5.</w:t>
      </w:r>
      <w:r w:rsidR="00E32A28">
        <w:rPr>
          <w:rFonts w:ascii="GHEA Grapalat" w:hAnsi="GHEA Grapalat" w:cstheme="minorBidi"/>
          <w:noProof/>
          <w:sz w:val="22"/>
          <w:szCs w:val="22"/>
        </w:rPr>
        <w:t>8% (47</w:t>
      </w:r>
      <w:r w:rsidR="001F2100">
        <w:rPr>
          <w:rFonts w:ascii="GHEA Grapalat" w:hAnsi="GHEA Grapalat" w:cstheme="minorBidi"/>
          <w:noProof/>
          <w:sz w:val="22"/>
          <w:szCs w:val="22"/>
        </w:rPr>
        <w:t>.4</w:t>
      </w:r>
      <w:r w:rsidR="00E32A28">
        <w:rPr>
          <w:rFonts w:ascii="GHEA Grapalat" w:hAnsi="GHEA Grapalat" w:cstheme="minorBidi"/>
          <w:noProof/>
          <w:sz w:val="22"/>
          <w:szCs w:val="22"/>
        </w:rPr>
        <w:t xml:space="preserve"> մլրդ դրամ)</w:t>
      </w:r>
      <w:r w:rsidR="00221D28">
        <w:rPr>
          <w:rFonts w:ascii="GHEA Grapalat" w:hAnsi="GHEA Grapalat" w:cstheme="minorBidi"/>
          <w:noProof/>
          <w:sz w:val="22"/>
          <w:szCs w:val="22"/>
        </w:rPr>
        <w:t xml:space="preserve">, </w:t>
      </w:r>
      <w:r w:rsidR="00BE1270">
        <w:rPr>
          <w:rFonts w:ascii="GHEA Grapalat" w:hAnsi="GHEA Grapalat" w:cstheme="minorBidi"/>
          <w:noProof/>
          <w:sz w:val="22"/>
          <w:szCs w:val="22"/>
        </w:rPr>
        <w:t xml:space="preserve">որը </w:t>
      </w:r>
      <w:r w:rsidR="00221D28">
        <w:rPr>
          <w:rFonts w:ascii="GHEA Grapalat" w:hAnsi="GHEA Grapalat" w:cstheme="minorBidi"/>
          <w:noProof/>
          <w:sz w:val="22"/>
          <w:szCs w:val="22"/>
        </w:rPr>
        <w:t>հիմնականում արձանագրվել է «</w:t>
      </w:r>
      <w:r w:rsidR="00221D28" w:rsidRPr="00221D28">
        <w:rPr>
          <w:rFonts w:ascii="GHEA Grapalat" w:hAnsi="GHEA Grapalat" w:cstheme="minorBidi"/>
          <w:noProof/>
          <w:sz w:val="22"/>
          <w:szCs w:val="22"/>
        </w:rPr>
        <w:t>Հիմնական ընդհանուր կրթություն</w:t>
      </w:r>
      <w:r w:rsidR="00221D28">
        <w:rPr>
          <w:rFonts w:ascii="GHEA Grapalat" w:hAnsi="GHEA Grapalat" w:cstheme="minorBidi"/>
          <w:noProof/>
          <w:sz w:val="22"/>
          <w:szCs w:val="22"/>
        </w:rPr>
        <w:t>», «</w:t>
      </w:r>
      <w:r w:rsidR="00221D28" w:rsidRPr="00221D28">
        <w:rPr>
          <w:rFonts w:ascii="GHEA Grapalat" w:hAnsi="GHEA Grapalat" w:cstheme="minorBidi"/>
          <w:noProof/>
          <w:sz w:val="22"/>
          <w:szCs w:val="22"/>
        </w:rPr>
        <w:t>Միջնակարգ (լրիվ) ընդհանուր կրթություն</w:t>
      </w:r>
      <w:r w:rsidR="00221D28">
        <w:rPr>
          <w:rFonts w:ascii="GHEA Grapalat" w:hAnsi="GHEA Grapalat" w:cstheme="minorBidi"/>
          <w:noProof/>
          <w:sz w:val="22"/>
          <w:szCs w:val="22"/>
        </w:rPr>
        <w:t>» և «</w:t>
      </w:r>
      <w:r w:rsidR="00221D28" w:rsidRPr="00221D28">
        <w:rPr>
          <w:rFonts w:ascii="GHEA Grapalat" w:hAnsi="GHEA Grapalat" w:cstheme="minorBidi"/>
          <w:noProof/>
          <w:sz w:val="22"/>
          <w:szCs w:val="22"/>
        </w:rPr>
        <w:t>Նախադպրոցական կրթություն</w:t>
      </w:r>
      <w:r w:rsidR="00221D28">
        <w:rPr>
          <w:rFonts w:ascii="GHEA Grapalat" w:hAnsi="GHEA Grapalat" w:cstheme="minorBidi"/>
          <w:noProof/>
          <w:sz w:val="22"/>
          <w:szCs w:val="22"/>
        </w:rPr>
        <w:t>» դասերում</w:t>
      </w:r>
      <w:r w:rsidR="0016383E">
        <w:rPr>
          <w:rFonts w:ascii="GHEA Grapalat" w:hAnsi="GHEA Grapalat" w:cstheme="minorBidi"/>
          <w:noProof/>
          <w:sz w:val="22"/>
          <w:szCs w:val="22"/>
        </w:rPr>
        <w:t>` պայմանավորված «</w:t>
      </w:r>
      <w:r w:rsidR="0016383E" w:rsidRPr="0016383E">
        <w:rPr>
          <w:rFonts w:ascii="GHEA Grapalat" w:hAnsi="GHEA Grapalat" w:cstheme="minorBidi"/>
          <w:noProof/>
          <w:sz w:val="22"/>
          <w:szCs w:val="22"/>
        </w:rPr>
        <w:t>Հանրակրթական և նախադպրոցական հաստատությունների հիմնում, կառուցում, բարելավում</w:t>
      </w:r>
      <w:r w:rsidR="0016383E">
        <w:rPr>
          <w:rFonts w:ascii="GHEA Grapalat" w:hAnsi="GHEA Grapalat" w:cstheme="minorBidi"/>
          <w:noProof/>
          <w:sz w:val="22"/>
          <w:szCs w:val="22"/>
        </w:rPr>
        <w:t>» ծրագրի մեկնարկով, ինչպես նաև նախադպրոցական և հանրակրթական հաստատությունների ֆինանսավորման աճով:</w:t>
      </w:r>
    </w:p>
    <w:p w:rsidR="00E32A28" w:rsidRDefault="00E32A28" w:rsidP="007F54C0">
      <w:pPr>
        <w:pStyle w:val="ListParagraph"/>
        <w:spacing w:line="276" w:lineRule="auto"/>
        <w:ind w:left="0" w:firstLine="567"/>
        <w:jc w:val="both"/>
        <w:rPr>
          <w:rFonts w:ascii="GHEA Grapalat" w:hAnsi="GHEA Grapalat" w:cstheme="minorBidi"/>
          <w:noProof/>
          <w:sz w:val="22"/>
          <w:szCs w:val="22"/>
        </w:rPr>
      </w:pPr>
    </w:p>
    <w:p w:rsidR="00754759" w:rsidRPr="003A21C7" w:rsidRDefault="00754759" w:rsidP="00754759">
      <w:pPr>
        <w:pStyle w:val="Caption"/>
        <w:keepNext/>
        <w:tabs>
          <w:tab w:val="left" w:pos="1134"/>
        </w:tabs>
        <w:spacing w:before="0" w:after="0" w:line="276" w:lineRule="auto"/>
        <w:jc w:val="left"/>
        <w:rPr>
          <w:rFonts w:ascii="GHEA Grapalat" w:hAnsi="GHEA Grapalat"/>
          <w:sz w:val="18"/>
          <w:szCs w:val="18"/>
          <w:lang w:val="en-US"/>
        </w:rPr>
      </w:pPr>
      <w:r w:rsidRPr="003A21C7">
        <w:rPr>
          <w:rFonts w:ascii="GHEA Grapalat" w:hAnsi="GHEA Grapalat"/>
          <w:sz w:val="18"/>
          <w:szCs w:val="18"/>
          <w:lang w:val="en-US"/>
        </w:rPr>
        <w:t xml:space="preserve">Գծապատկեր </w:t>
      </w:r>
      <w:r w:rsidR="00813764">
        <w:rPr>
          <w:rFonts w:ascii="GHEA Grapalat" w:hAnsi="GHEA Grapalat"/>
          <w:sz w:val="18"/>
          <w:szCs w:val="18"/>
          <w:lang w:val="en-US"/>
        </w:rPr>
        <w:t>2</w:t>
      </w:r>
      <w:r w:rsidRPr="003A21C7">
        <w:rPr>
          <w:rFonts w:ascii="GHEA Grapalat" w:hAnsi="GHEA Grapalat"/>
          <w:sz w:val="18"/>
          <w:szCs w:val="18"/>
          <w:lang w:val="en-US"/>
        </w:rPr>
        <w:t xml:space="preserve">. </w:t>
      </w:r>
      <w:r>
        <w:rPr>
          <w:rFonts w:ascii="GHEA Grapalat" w:hAnsi="GHEA Grapalat"/>
          <w:sz w:val="18"/>
          <w:szCs w:val="18"/>
          <w:lang w:val="en-US"/>
        </w:rPr>
        <w:t xml:space="preserve">ՀՀ </w:t>
      </w:r>
      <w:r w:rsidRPr="003A21C7">
        <w:rPr>
          <w:rFonts w:ascii="GHEA Grapalat" w:hAnsi="GHEA Grapalat"/>
          <w:sz w:val="18"/>
          <w:szCs w:val="18"/>
          <w:lang w:val="en-US"/>
        </w:rPr>
        <w:t>պետական բյուջե</w:t>
      </w:r>
      <w:r>
        <w:rPr>
          <w:rFonts w:ascii="GHEA Grapalat" w:hAnsi="GHEA Grapalat"/>
          <w:sz w:val="18"/>
          <w:szCs w:val="18"/>
          <w:lang w:val="en-US"/>
        </w:rPr>
        <w:t>ի ծախսերն ըստ գործառական դասակարգման</w:t>
      </w:r>
    </w:p>
    <w:p w:rsidR="00235466" w:rsidRDefault="00695DAC" w:rsidP="00933C81">
      <w:pPr>
        <w:pStyle w:val="ListParagraph"/>
        <w:spacing w:line="276" w:lineRule="auto"/>
        <w:ind w:left="0"/>
        <w:jc w:val="both"/>
        <w:rPr>
          <w:rFonts w:ascii="GHEA Grapalat" w:hAnsi="GHEA Grapalat" w:cstheme="minorBidi"/>
          <w:noProof/>
          <w:sz w:val="22"/>
          <w:szCs w:val="22"/>
          <w:lang w:val="hy-AM"/>
        </w:rPr>
      </w:pPr>
      <w:r w:rsidRPr="00695DAC">
        <w:rPr>
          <w:rFonts w:ascii="GHEA Grapalat" w:hAnsi="GHEA Grapalat" w:cstheme="minorBidi"/>
          <w:noProof/>
          <w:sz w:val="22"/>
          <w:szCs w:val="22"/>
        </w:rPr>
        <w:drawing>
          <wp:inline distT="0" distB="0" distL="0" distR="0" wp14:anchorId="1F2D3B95" wp14:editId="217D5CA7">
            <wp:extent cx="6409266" cy="3259455"/>
            <wp:effectExtent l="0" t="0" r="10795" b="1714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bookmarkEnd w:id="1"/>
      <w:bookmarkEnd w:id="2"/>
      <w:bookmarkEnd w:id="3"/>
      <w:bookmarkEnd w:id="4"/>
      <w:bookmarkEnd w:id="5"/>
      <w:bookmarkEnd w:id="6"/>
      <w:bookmarkEnd w:id="7"/>
      <w:bookmarkEnd w:id="8"/>
    </w:p>
    <w:sectPr w:rsidR="00235466" w:rsidSect="00AE6E81">
      <w:footerReference w:type="even" r:id="rId11"/>
      <w:footerReference w:type="default" r:id="rId12"/>
      <w:pgSz w:w="11907" w:h="16839" w:code="9"/>
      <w:pgMar w:top="1134" w:right="567" w:bottom="567" w:left="1134" w:header="720" w:footer="624" w:gutter="0"/>
      <w:pgNumType w:start="8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086" w:rsidRDefault="00393086" w:rsidP="00427769">
      <w:r>
        <w:separator/>
      </w:r>
    </w:p>
  </w:endnote>
  <w:endnote w:type="continuationSeparator" w:id="0">
    <w:p w:rsidR="00393086" w:rsidRDefault="00393086" w:rsidP="0042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8AC" w:rsidRDefault="009F38AC" w:rsidP="00CA73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F38AC" w:rsidRDefault="009F38AC" w:rsidP="00CA739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8AC" w:rsidRPr="000E33E1" w:rsidRDefault="009F38AC" w:rsidP="00CA7399">
    <w:pPr>
      <w:pStyle w:val="Footer"/>
      <w:framePr w:wrap="around" w:vAnchor="text" w:hAnchor="margin" w:xAlign="right" w:y="1"/>
      <w:rPr>
        <w:rStyle w:val="PageNumber"/>
        <w:rFonts w:ascii="GHEA Grapalat" w:hAnsi="GHEA Grapalat"/>
      </w:rPr>
    </w:pPr>
    <w:r w:rsidRPr="000E33E1">
      <w:rPr>
        <w:rStyle w:val="PageNumber"/>
        <w:rFonts w:ascii="GHEA Grapalat" w:hAnsi="GHEA Grapalat"/>
      </w:rPr>
      <w:fldChar w:fldCharType="begin"/>
    </w:r>
    <w:r w:rsidRPr="000E33E1">
      <w:rPr>
        <w:rStyle w:val="PageNumber"/>
        <w:rFonts w:ascii="GHEA Grapalat" w:hAnsi="GHEA Grapalat"/>
      </w:rPr>
      <w:instrText xml:space="preserve">PAGE  </w:instrText>
    </w:r>
    <w:r w:rsidRPr="000E33E1">
      <w:rPr>
        <w:rStyle w:val="PageNumber"/>
        <w:rFonts w:ascii="GHEA Grapalat" w:hAnsi="GHEA Grapalat"/>
      </w:rPr>
      <w:fldChar w:fldCharType="separate"/>
    </w:r>
    <w:r w:rsidR="00220DB9">
      <w:rPr>
        <w:rStyle w:val="PageNumber"/>
        <w:rFonts w:ascii="GHEA Grapalat" w:hAnsi="GHEA Grapalat"/>
        <w:noProof/>
      </w:rPr>
      <w:t>82</w:t>
    </w:r>
    <w:r w:rsidRPr="000E33E1">
      <w:rPr>
        <w:rStyle w:val="PageNumber"/>
        <w:rFonts w:ascii="GHEA Grapalat" w:hAnsi="GHEA Grapalat"/>
      </w:rPr>
      <w:fldChar w:fldCharType="end"/>
    </w:r>
  </w:p>
  <w:p w:rsidR="009F38AC" w:rsidRDefault="009F38AC" w:rsidP="00CA739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086" w:rsidRDefault="00393086" w:rsidP="00427769">
      <w:r>
        <w:separator/>
      </w:r>
    </w:p>
  </w:footnote>
  <w:footnote w:type="continuationSeparator" w:id="0">
    <w:p w:rsidR="00393086" w:rsidRDefault="00393086" w:rsidP="00427769">
      <w:r>
        <w:continuationSeparator/>
      </w:r>
    </w:p>
  </w:footnote>
  <w:footnote w:id="1">
    <w:p w:rsidR="009F38AC" w:rsidRPr="00411A97" w:rsidRDefault="009F38AC" w:rsidP="000365D4">
      <w:pPr>
        <w:pStyle w:val="FootnoteText"/>
        <w:jc w:val="both"/>
        <w:rPr>
          <w:rFonts w:ascii="GHEA Grapalat" w:hAnsi="GHEA Grapalat"/>
          <w:sz w:val="18"/>
          <w:szCs w:val="18"/>
        </w:rPr>
      </w:pPr>
      <w:r w:rsidRPr="00411A97">
        <w:rPr>
          <w:rStyle w:val="FootnoteReference"/>
          <w:rFonts w:ascii="GHEA Grapalat" w:hAnsi="GHEA Grapalat"/>
          <w:sz w:val="18"/>
          <w:szCs w:val="18"/>
        </w:rPr>
        <w:footnoteRef/>
      </w:r>
      <w:r w:rsidRPr="00411A97">
        <w:rPr>
          <w:rFonts w:ascii="GHEA Grapalat" w:hAnsi="GHEA Grapalat"/>
          <w:sz w:val="18"/>
          <w:szCs w:val="18"/>
        </w:rPr>
        <w:t xml:space="preserve"> </w:t>
      </w:r>
      <w:r w:rsidRPr="00411A97">
        <w:rPr>
          <w:rFonts w:ascii="GHEA Grapalat" w:hAnsi="GHEA Grapalat" w:cs="GHEA Grapalat"/>
          <w:sz w:val="18"/>
          <w:szCs w:val="18"/>
        </w:rPr>
        <w:t xml:space="preserve">ՀՀ պետական բյուջեի ծախսերն ըստ </w:t>
      </w:r>
      <w:r w:rsidR="00BE6237" w:rsidRPr="00411A97">
        <w:rPr>
          <w:rFonts w:ascii="GHEA Grapalat" w:hAnsi="GHEA Grapalat" w:cs="GHEA Grapalat"/>
          <w:sz w:val="18"/>
          <w:szCs w:val="18"/>
        </w:rPr>
        <w:t>գործառական</w:t>
      </w:r>
      <w:r w:rsidRPr="00411A97">
        <w:rPr>
          <w:rFonts w:ascii="GHEA Grapalat" w:hAnsi="GHEA Grapalat" w:cs="GHEA Grapalat"/>
          <w:sz w:val="18"/>
          <w:szCs w:val="18"/>
        </w:rPr>
        <w:t xml:space="preserve"> դասակարգման ներկայացված են հետևյալ տեղեկանք</w:t>
      </w:r>
      <w:r w:rsidR="00411A97">
        <w:rPr>
          <w:rFonts w:ascii="GHEA Grapalat" w:hAnsi="GHEA Grapalat" w:cs="GHEA Grapalat"/>
          <w:sz w:val="18"/>
          <w:szCs w:val="18"/>
        </w:rPr>
        <w:t>ներ</w:t>
      </w:r>
      <w:r w:rsidRPr="00411A97">
        <w:rPr>
          <w:rFonts w:ascii="GHEA Grapalat" w:hAnsi="GHEA Grapalat" w:cs="GHEA Grapalat"/>
          <w:sz w:val="18"/>
          <w:szCs w:val="18"/>
        </w:rPr>
        <w:t>ում՝</w:t>
      </w:r>
      <w:r w:rsidR="00411A97">
        <w:rPr>
          <w:rFonts w:ascii="GHEA Grapalat" w:hAnsi="GHEA Grapalat" w:cs="GHEA Grapalat"/>
          <w:sz w:val="18"/>
          <w:szCs w:val="18"/>
        </w:rPr>
        <w:t xml:space="preserve"> </w:t>
      </w:r>
      <w:hyperlink r:id="rId1" w:history="1">
        <w:r w:rsidR="00411A97" w:rsidRPr="00411A97">
          <w:rPr>
            <w:rStyle w:val="Hyperlink"/>
            <w:rFonts w:ascii="GHEA Grapalat" w:hAnsi="GHEA Grapalat" w:cs="GHEA Grapalat"/>
            <w:sz w:val="18"/>
            <w:szCs w:val="18"/>
          </w:rPr>
          <w:t>1.10.Տեղեկանքներ\1.Ծախսեր (ըստ գործառական դասակարգման).xlsx</w:t>
        </w:r>
      </w:hyperlink>
      <w:r w:rsidR="00411A97">
        <w:rPr>
          <w:rFonts w:ascii="GHEA Grapalat" w:hAnsi="GHEA Grapalat" w:cs="GHEA Grapalat"/>
          <w:sz w:val="18"/>
          <w:szCs w:val="18"/>
        </w:rPr>
        <w:t xml:space="preserve">, </w:t>
      </w:r>
      <w:hyperlink r:id="rId2" w:history="1">
        <w:r w:rsidR="005F1C61" w:rsidRPr="005F1C61">
          <w:rPr>
            <w:rStyle w:val="Hyperlink"/>
            <w:rFonts w:ascii="GHEA Grapalat" w:hAnsi="GHEA Grapalat" w:cs="GHEA Grapalat"/>
            <w:sz w:val="18"/>
            <w:szCs w:val="18"/>
          </w:rPr>
          <w:t>1.10.Տեղեկանքներ\2.Ծախսեր (ըստ գործառական և տնտեսագիտական դասակարգումների).xlsx</w:t>
        </w:r>
      </w:hyperlink>
      <w:r w:rsidR="005F1C61">
        <w:rPr>
          <w:rFonts w:ascii="GHEA Grapalat" w:hAnsi="GHEA Grapalat" w:cs="GHEA Grapalat"/>
          <w:sz w:val="18"/>
          <w:szCs w:val="18"/>
        </w:rPr>
        <w:t xml:space="preserve"> </w:t>
      </w:r>
      <w:r w:rsidRPr="00411A97">
        <w:rPr>
          <w:rFonts w:ascii="GHEA Grapalat" w:hAnsi="GHEA Grapalat" w:cs="GHEA Grapalat"/>
          <w:sz w:val="18"/>
          <w:szCs w:val="18"/>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E55C0"/>
    <w:multiLevelType w:val="hybridMultilevel"/>
    <w:tmpl w:val="14A4292A"/>
    <w:lvl w:ilvl="0" w:tplc="74660C4A">
      <w:start w:val="1"/>
      <w:numFmt w:val="decimal"/>
      <w:pStyle w:val="a"/>
      <w:lvlText w:val="Գծապատկեր %1."/>
      <w:lvlJc w:val="left"/>
      <w:pPr>
        <w:ind w:left="928" w:hanging="360"/>
      </w:pPr>
      <w:rPr>
        <w:rFonts w:ascii="GHEA Grapalat" w:hAnsi="GHEA Grapalat" w:cs="Times New Roman" w:hint="default"/>
        <w:b/>
        <w:i/>
        <w:sz w:val="22"/>
        <w:szCs w:val="22"/>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 w15:restartNumberingAfterBreak="0">
    <w:nsid w:val="1A351095"/>
    <w:multiLevelType w:val="hybridMultilevel"/>
    <w:tmpl w:val="2A66CFD4"/>
    <w:lvl w:ilvl="0" w:tplc="B78640B8">
      <w:start w:val="4"/>
      <w:numFmt w:val="decimal"/>
      <w:lvlText w:val="Աղյուսակ %1."/>
      <w:lvlJc w:val="left"/>
      <w:pPr>
        <w:ind w:left="928" w:hanging="360"/>
      </w:pPr>
      <w:rPr>
        <w:rFonts w:ascii="GHEA Grapalat" w:hAnsi="GHEA Grapalat" w:cs="Times New Roman" w:hint="default"/>
        <w:b/>
        <w:i/>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cs="Calibri"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 w15:restartNumberingAfterBreak="0">
    <w:nsid w:val="293504E0"/>
    <w:multiLevelType w:val="hybridMultilevel"/>
    <w:tmpl w:val="6CBE55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2EE138E8"/>
    <w:multiLevelType w:val="hybridMultilevel"/>
    <w:tmpl w:val="A2D6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1565BA"/>
    <w:multiLevelType w:val="hybridMultilevel"/>
    <w:tmpl w:val="C67647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E452D1"/>
    <w:multiLevelType w:val="hybridMultilevel"/>
    <w:tmpl w:val="BC3AA9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53D83FAD"/>
    <w:multiLevelType w:val="hybridMultilevel"/>
    <w:tmpl w:val="2A1A9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2627D3"/>
    <w:multiLevelType w:val="multilevel"/>
    <w:tmpl w:val="E33CFB7C"/>
    <w:lvl w:ilvl="0">
      <w:start w:val="1"/>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63F276B0"/>
    <w:multiLevelType w:val="hybridMultilevel"/>
    <w:tmpl w:val="FF864A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AF4E79"/>
    <w:multiLevelType w:val="hybridMultilevel"/>
    <w:tmpl w:val="9620E2A8"/>
    <w:lvl w:ilvl="0" w:tplc="FE5487DE">
      <w:start w:val="2"/>
      <w:numFmt w:val="decimal"/>
      <w:lvlText w:val="Աղյուսակ %1."/>
      <w:lvlJc w:val="left"/>
      <w:pPr>
        <w:ind w:left="1778" w:hanging="360"/>
      </w:pPr>
      <w:rPr>
        <w:rFonts w:ascii="GHEA Grapalat" w:hAnsi="GHEA Grapalat" w:hint="default"/>
        <w:b/>
        <w:i/>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5"/>
  </w:num>
  <w:num w:numId="4">
    <w:abstractNumId w:val="0"/>
  </w:num>
  <w:num w:numId="5">
    <w:abstractNumId w:val="1"/>
  </w:num>
  <w:num w:numId="6">
    <w:abstractNumId w:val="6"/>
  </w:num>
  <w:num w:numId="7">
    <w:abstractNumId w:val="4"/>
  </w:num>
  <w:num w:numId="8">
    <w:abstractNumId w:val="9"/>
  </w:num>
  <w:num w:numId="9">
    <w:abstractNumId w:val="3"/>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963"/>
    <w:rsid w:val="00003237"/>
    <w:rsid w:val="000037B8"/>
    <w:rsid w:val="00004AA6"/>
    <w:rsid w:val="00004EC9"/>
    <w:rsid w:val="000143CC"/>
    <w:rsid w:val="00020A8E"/>
    <w:rsid w:val="000218D7"/>
    <w:rsid w:val="000235E5"/>
    <w:rsid w:val="00025E64"/>
    <w:rsid w:val="00026CD7"/>
    <w:rsid w:val="00035C24"/>
    <w:rsid w:val="000365D4"/>
    <w:rsid w:val="00052002"/>
    <w:rsid w:val="00053355"/>
    <w:rsid w:val="0006234A"/>
    <w:rsid w:val="00064EF3"/>
    <w:rsid w:val="000719B4"/>
    <w:rsid w:val="000A248D"/>
    <w:rsid w:val="000A26E3"/>
    <w:rsid w:val="000B0B9D"/>
    <w:rsid w:val="000B19E3"/>
    <w:rsid w:val="000B6D96"/>
    <w:rsid w:val="000C39BF"/>
    <w:rsid w:val="000D41B6"/>
    <w:rsid w:val="000E1D19"/>
    <w:rsid w:val="000E6A40"/>
    <w:rsid w:val="00100CED"/>
    <w:rsid w:val="001128E8"/>
    <w:rsid w:val="001177E5"/>
    <w:rsid w:val="0013697B"/>
    <w:rsid w:val="0015172C"/>
    <w:rsid w:val="00163422"/>
    <w:rsid w:val="0016383E"/>
    <w:rsid w:val="00164979"/>
    <w:rsid w:val="00171F7E"/>
    <w:rsid w:val="00174A2D"/>
    <w:rsid w:val="0017709A"/>
    <w:rsid w:val="00191883"/>
    <w:rsid w:val="001D4C24"/>
    <w:rsid w:val="001E02DF"/>
    <w:rsid w:val="001F2100"/>
    <w:rsid w:val="00203696"/>
    <w:rsid w:val="00220DB9"/>
    <w:rsid w:val="00221D28"/>
    <w:rsid w:val="002259C6"/>
    <w:rsid w:val="002273E9"/>
    <w:rsid w:val="0022780C"/>
    <w:rsid w:val="00230E28"/>
    <w:rsid w:val="00234869"/>
    <w:rsid w:val="00235466"/>
    <w:rsid w:val="00242C7B"/>
    <w:rsid w:val="0024452B"/>
    <w:rsid w:val="00251823"/>
    <w:rsid w:val="00251C00"/>
    <w:rsid w:val="00257B03"/>
    <w:rsid w:val="00277C86"/>
    <w:rsid w:val="00284937"/>
    <w:rsid w:val="002863FE"/>
    <w:rsid w:val="00297366"/>
    <w:rsid w:val="002A5FFE"/>
    <w:rsid w:val="002B3C4A"/>
    <w:rsid w:val="002B3FFC"/>
    <w:rsid w:val="002B4355"/>
    <w:rsid w:val="002B7A6A"/>
    <w:rsid w:val="002B7CE9"/>
    <w:rsid w:val="002C163E"/>
    <w:rsid w:val="002C56A3"/>
    <w:rsid w:val="002D02FA"/>
    <w:rsid w:val="002D6BBE"/>
    <w:rsid w:val="002D798D"/>
    <w:rsid w:val="002E5C0E"/>
    <w:rsid w:val="002F01AA"/>
    <w:rsid w:val="002F0E22"/>
    <w:rsid w:val="0030114D"/>
    <w:rsid w:val="00303D91"/>
    <w:rsid w:val="00305B4F"/>
    <w:rsid w:val="0031750A"/>
    <w:rsid w:val="00327A09"/>
    <w:rsid w:val="003316C7"/>
    <w:rsid w:val="0034055F"/>
    <w:rsid w:val="00360248"/>
    <w:rsid w:val="003848DF"/>
    <w:rsid w:val="00393086"/>
    <w:rsid w:val="003A21C7"/>
    <w:rsid w:val="003B3AC5"/>
    <w:rsid w:val="003B7428"/>
    <w:rsid w:val="003C0B2C"/>
    <w:rsid w:val="003C284C"/>
    <w:rsid w:val="003E0827"/>
    <w:rsid w:val="003E4ACD"/>
    <w:rsid w:val="003F1700"/>
    <w:rsid w:val="003F5660"/>
    <w:rsid w:val="00411A97"/>
    <w:rsid w:val="004234A5"/>
    <w:rsid w:val="00427769"/>
    <w:rsid w:val="0043094A"/>
    <w:rsid w:val="00436900"/>
    <w:rsid w:val="004457E2"/>
    <w:rsid w:val="00450D16"/>
    <w:rsid w:val="00454F56"/>
    <w:rsid w:val="00456DAE"/>
    <w:rsid w:val="00461D3C"/>
    <w:rsid w:val="00467E70"/>
    <w:rsid w:val="00473CA0"/>
    <w:rsid w:val="00474126"/>
    <w:rsid w:val="00492A04"/>
    <w:rsid w:val="004937A8"/>
    <w:rsid w:val="0049464F"/>
    <w:rsid w:val="004946FC"/>
    <w:rsid w:val="0049680F"/>
    <w:rsid w:val="004A0396"/>
    <w:rsid w:val="004A063F"/>
    <w:rsid w:val="004B45B7"/>
    <w:rsid w:val="004B4633"/>
    <w:rsid w:val="004B7CC2"/>
    <w:rsid w:val="004D1314"/>
    <w:rsid w:val="004E3CA6"/>
    <w:rsid w:val="004E3DE8"/>
    <w:rsid w:val="00504CA5"/>
    <w:rsid w:val="00521104"/>
    <w:rsid w:val="005262BD"/>
    <w:rsid w:val="00527209"/>
    <w:rsid w:val="005412F1"/>
    <w:rsid w:val="00554030"/>
    <w:rsid w:val="0056386A"/>
    <w:rsid w:val="00566C2E"/>
    <w:rsid w:val="00584204"/>
    <w:rsid w:val="005849CB"/>
    <w:rsid w:val="005869AE"/>
    <w:rsid w:val="005A1011"/>
    <w:rsid w:val="005A243A"/>
    <w:rsid w:val="005C0AFA"/>
    <w:rsid w:val="005C6DCD"/>
    <w:rsid w:val="005E4AE0"/>
    <w:rsid w:val="005E7D78"/>
    <w:rsid w:val="005F10EC"/>
    <w:rsid w:val="005F1C61"/>
    <w:rsid w:val="00607B8C"/>
    <w:rsid w:val="00617D2C"/>
    <w:rsid w:val="00636D41"/>
    <w:rsid w:val="00646FD4"/>
    <w:rsid w:val="00661BC3"/>
    <w:rsid w:val="00695DAC"/>
    <w:rsid w:val="006970C1"/>
    <w:rsid w:val="00697597"/>
    <w:rsid w:val="006A3ABD"/>
    <w:rsid w:val="006A71A1"/>
    <w:rsid w:val="006B1489"/>
    <w:rsid w:val="006B1BAB"/>
    <w:rsid w:val="006C5C13"/>
    <w:rsid w:val="006E6A66"/>
    <w:rsid w:val="006F2D83"/>
    <w:rsid w:val="006F5D88"/>
    <w:rsid w:val="006F783F"/>
    <w:rsid w:val="0070079A"/>
    <w:rsid w:val="0070327C"/>
    <w:rsid w:val="0071319A"/>
    <w:rsid w:val="0072184B"/>
    <w:rsid w:val="0073316F"/>
    <w:rsid w:val="00737456"/>
    <w:rsid w:val="00752961"/>
    <w:rsid w:val="00754759"/>
    <w:rsid w:val="00762F94"/>
    <w:rsid w:val="00776247"/>
    <w:rsid w:val="007818B1"/>
    <w:rsid w:val="00785A13"/>
    <w:rsid w:val="007D28A4"/>
    <w:rsid w:val="007D2B31"/>
    <w:rsid w:val="007D477D"/>
    <w:rsid w:val="007E02AB"/>
    <w:rsid w:val="007E21F6"/>
    <w:rsid w:val="007E4F2D"/>
    <w:rsid w:val="007F25F3"/>
    <w:rsid w:val="007F28EE"/>
    <w:rsid w:val="007F54C0"/>
    <w:rsid w:val="00806BD5"/>
    <w:rsid w:val="00813764"/>
    <w:rsid w:val="0081495D"/>
    <w:rsid w:val="0081523D"/>
    <w:rsid w:val="0081653A"/>
    <w:rsid w:val="00824459"/>
    <w:rsid w:val="00840B8B"/>
    <w:rsid w:val="00847896"/>
    <w:rsid w:val="00856544"/>
    <w:rsid w:val="00872081"/>
    <w:rsid w:val="00882360"/>
    <w:rsid w:val="00887862"/>
    <w:rsid w:val="00895C27"/>
    <w:rsid w:val="008A015A"/>
    <w:rsid w:val="008B2890"/>
    <w:rsid w:val="008B34B4"/>
    <w:rsid w:val="008C4F44"/>
    <w:rsid w:val="008C6633"/>
    <w:rsid w:val="008D4430"/>
    <w:rsid w:val="008E6921"/>
    <w:rsid w:val="00903084"/>
    <w:rsid w:val="00920CF6"/>
    <w:rsid w:val="0092583A"/>
    <w:rsid w:val="00933C81"/>
    <w:rsid w:val="00934F69"/>
    <w:rsid w:val="00946013"/>
    <w:rsid w:val="009466FB"/>
    <w:rsid w:val="00951186"/>
    <w:rsid w:val="00971579"/>
    <w:rsid w:val="00973A15"/>
    <w:rsid w:val="00982391"/>
    <w:rsid w:val="00994EA1"/>
    <w:rsid w:val="009A17D6"/>
    <w:rsid w:val="009A3F26"/>
    <w:rsid w:val="009A7402"/>
    <w:rsid w:val="009B15E1"/>
    <w:rsid w:val="009B7A42"/>
    <w:rsid w:val="009C3235"/>
    <w:rsid w:val="009C3C20"/>
    <w:rsid w:val="009C758B"/>
    <w:rsid w:val="009C7B37"/>
    <w:rsid w:val="009D5C44"/>
    <w:rsid w:val="009E18A4"/>
    <w:rsid w:val="009E677D"/>
    <w:rsid w:val="009F38AC"/>
    <w:rsid w:val="009F7794"/>
    <w:rsid w:val="00A007AF"/>
    <w:rsid w:val="00A01DB3"/>
    <w:rsid w:val="00A06B00"/>
    <w:rsid w:val="00A07870"/>
    <w:rsid w:val="00A139E3"/>
    <w:rsid w:val="00A14BFA"/>
    <w:rsid w:val="00A22B9C"/>
    <w:rsid w:val="00A4053D"/>
    <w:rsid w:val="00A4413A"/>
    <w:rsid w:val="00A46117"/>
    <w:rsid w:val="00A5262B"/>
    <w:rsid w:val="00A56A49"/>
    <w:rsid w:val="00A73F40"/>
    <w:rsid w:val="00A867DA"/>
    <w:rsid w:val="00AA2FCC"/>
    <w:rsid w:val="00AA666F"/>
    <w:rsid w:val="00AB53DC"/>
    <w:rsid w:val="00AB6789"/>
    <w:rsid w:val="00AC5E43"/>
    <w:rsid w:val="00AD0A65"/>
    <w:rsid w:val="00AD2880"/>
    <w:rsid w:val="00AD6FA4"/>
    <w:rsid w:val="00AE6E81"/>
    <w:rsid w:val="00AF13C9"/>
    <w:rsid w:val="00B01B3E"/>
    <w:rsid w:val="00B07CA7"/>
    <w:rsid w:val="00B20329"/>
    <w:rsid w:val="00B225D4"/>
    <w:rsid w:val="00B34AD9"/>
    <w:rsid w:val="00B53532"/>
    <w:rsid w:val="00B53C5B"/>
    <w:rsid w:val="00B53C82"/>
    <w:rsid w:val="00B5648F"/>
    <w:rsid w:val="00B6732E"/>
    <w:rsid w:val="00B843FF"/>
    <w:rsid w:val="00B952DD"/>
    <w:rsid w:val="00BA5D60"/>
    <w:rsid w:val="00BA6C27"/>
    <w:rsid w:val="00BA7A5B"/>
    <w:rsid w:val="00BB1794"/>
    <w:rsid w:val="00BB4425"/>
    <w:rsid w:val="00BB6612"/>
    <w:rsid w:val="00BC4568"/>
    <w:rsid w:val="00BC49C1"/>
    <w:rsid w:val="00BC573C"/>
    <w:rsid w:val="00BD07C3"/>
    <w:rsid w:val="00BD10AD"/>
    <w:rsid w:val="00BD345F"/>
    <w:rsid w:val="00BE1270"/>
    <w:rsid w:val="00BE2A39"/>
    <w:rsid w:val="00BE6237"/>
    <w:rsid w:val="00C043C1"/>
    <w:rsid w:val="00C111CE"/>
    <w:rsid w:val="00C16AC6"/>
    <w:rsid w:val="00C22256"/>
    <w:rsid w:val="00C30E28"/>
    <w:rsid w:val="00C35DB0"/>
    <w:rsid w:val="00C46789"/>
    <w:rsid w:val="00C55560"/>
    <w:rsid w:val="00C5610D"/>
    <w:rsid w:val="00C56F4B"/>
    <w:rsid w:val="00C63E5E"/>
    <w:rsid w:val="00C71738"/>
    <w:rsid w:val="00C86ED6"/>
    <w:rsid w:val="00C90E5C"/>
    <w:rsid w:val="00C9345A"/>
    <w:rsid w:val="00CA2B39"/>
    <w:rsid w:val="00CA2C6B"/>
    <w:rsid w:val="00CA7399"/>
    <w:rsid w:val="00CC01C6"/>
    <w:rsid w:val="00CD05ED"/>
    <w:rsid w:val="00CD294E"/>
    <w:rsid w:val="00CD501E"/>
    <w:rsid w:val="00CD517E"/>
    <w:rsid w:val="00CD529A"/>
    <w:rsid w:val="00CD57C5"/>
    <w:rsid w:val="00CE4F40"/>
    <w:rsid w:val="00CF5BF2"/>
    <w:rsid w:val="00D01FEF"/>
    <w:rsid w:val="00D110A2"/>
    <w:rsid w:val="00D11970"/>
    <w:rsid w:val="00D1328D"/>
    <w:rsid w:val="00D21652"/>
    <w:rsid w:val="00D24F3B"/>
    <w:rsid w:val="00D26AAB"/>
    <w:rsid w:val="00D31F63"/>
    <w:rsid w:val="00D34C7E"/>
    <w:rsid w:val="00D36AC3"/>
    <w:rsid w:val="00D36FF4"/>
    <w:rsid w:val="00D43343"/>
    <w:rsid w:val="00D45DDA"/>
    <w:rsid w:val="00D54858"/>
    <w:rsid w:val="00D5751C"/>
    <w:rsid w:val="00D60829"/>
    <w:rsid w:val="00D60D19"/>
    <w:rsid w:val="00D67F33"/>
    <w:rsid w:val="00D926AA"/>
    <w:rsid w:val="00D9492B"/>
    <w:rsid w:val="00D96AAB"/>
    <w:rsid w:val="00DA73EE"/>
    <w:rsid w:val="00DB330C"/>
    <w:rsid w:val="00DB6F6C"/>
    <w:rsid w:val="00DB7B00"/>
    <w:rsid w:val="00DC45FB"/>
    <w:rsid w:val="00DC5837"/>
    <w:rsid w:val="00DD0327"/>
    <w:rsid w:val="00DE377A"/>
    <w:rsid w:val="00DF4094"/>
    <w:rsid w:val="00DF4961"/>
    <w:rsid w:val="00DF5769"/>
    <w:rsid w:val="00E020DA"/>
    <w:rsid w:val="00E07E32"/>
    <w:rsid w:val="00E32306"/>
    <w:rsid w:val="00E32A28"/>
    <w:rsid w:val="00E338A9"/>
    <w:rsid w:val="00E33B9C"/>
    <w:rsid w:val="00E423C2"/>
    <w:rsid w:val="00E4747D"/>
    <w:rsid w:val="00E50503"/>
    <w:rsid w:val="00E553BE"/>
    <w:rsid w:val="00E577A7"/>
    <w:rsid w:val="00E657B2"/>
    <w:rsid w:val="00E74C7C"/>
    <w:rsid w:val="00E87A7F"/>
    <w:rsid w:val="00E91451"/>
    <w:rsid w:val="00EA0402"/>
    <w:rsid w:val="00EA311C"/>
    <w:rsid w:val="00EC3510"/>
    <w:rsid w:val="00EC4D83"/>
    <w:rsid w:val="00EE0A64"/>
    <w:rsid w:val="00EE6B8F"/>
    <w:rsid w:val="00EF207A"/>
    <w:rsid w:val="00EF4945"/>
    <w:rsid w:val="00EF675F"/>
    <w:rsid w:val="00F01BA9"/>
    <w:rsid w:val="00F04C42"/>
    <w:rsid w:val="00F16593"/>
    <w:rsid w:val="00F20054"/>
    <w:rsid w:val="00F20DE0"/>
    <w:rsid w:val="00F2566E"/>
    <w:rsid w:val="00F40895"/>
    <w:rsid w:val="00F47E70"/>
    <w:rsid w:val="00F75A6F"/>
    <w:rsid w:val="00F8138C"/>
    <w:rsid w:val="00F8283B"/>
    <w:rsid w:val="00F868B0"/>
    <w:rsid w:val="00F86B1F"/>
    <w:rsid w:val="00FA1C2D"/>
    <w:rsid w:val="00FA4306"/>
    <w:rsid w:val="00FB2F7B"/>
    <w:rsid w:val="00FB469A"/>
    <w:rsid w:val="00FB7B1B"/>
    <w:rsid w:val="00FC31DE"/>
    <w:rsid w:val="00FC3786"/>
    <w:rsid w:val="00FC474C"/>
    <w:rsid w:val="00FD3871"/>
    <w:rsid w:val="00FE0963"/>
    <w:rsid w:val="00FE5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6B4806-0D8D-43CA-8FEC-A8588AF0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B9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27769"/>
    <w:pPr>
      <w:keepNext/>
      <w:overflowPunct w:val="0"/>
      <w:autoSpaceDE w:val="0"/>
      <w:autoSpaceDN w:val="0"/>
      <w:adjustRightInd w:val="0"/>
      <w:spacing w:line="480" w:lineRule="auto"/>
      <w:ind w:firstLine="720"/>
      <w:jc w:val="both"/>
      <w:textAlignment w:val="baseline"/>
      <w:outlineLvl w:val="0"/>
    </w:pPr>
    <w:rPr>
      <w:rFonts w:ascii="Times Armenian" w:hAnsi="Times Armenian"/>
      <w:b/>
      <w:i/>
      <w:sz w:val="26"/>
      <w:szCs w:val="20"/>
    </w:rPr>
  </w:style>
  <w:style w:type="paragraph" w:styleId="Heading2">
    <w:name w:val="heading 2"/>
    <w:basedOn w:val="Normal"/>
    <w:next w:val="Normal"/>
    <w:link w:val="Heading2Char"/>
    <w:unhideWhenUsed/>
    <w:qFormat/>
    <w:rsid w:val="00A22B9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7">
    <w:name w:val="heading 7"/>
    <w:basedOn w:val="Normal"/>
    <w:next w:val="Normal"/>
    <w:link w:val="Heading7Char"/>
    <w:uiPriority w:val="9"/>
    <w:semiHidden/>
    <w:unhideWhenUsed/>
    <w:qFormat/>
    <w:rsid w:val="0036024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769"/>
    <w:rPr>
      <w:rFonts w:ascii="Times Armenian" w:eastAsia="Times New Roman" w:hAnsi="Times Armenian" w:cs="Times New Roman"/>
      <w:b/>
      <w:i/>
      <w:sz w:val="26"/>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1"/>
    <w:uiPriority w:val="99"/>
    <w:qFormat/>
    <w:rsid w:val="00427769"/>
    <w:rPr>
      <w:rFonts w:ascii="Arial Armenian" w:hAnsi="Arial Armenian"/>
      <w:sz w:val="20"/>
      <w:szCs w:val="20"/>
    </w:rPr>
  </w:style>
  <w:style w:type="character" w:customStyle="1" w:styleId="FootnoteTextChar">
    <w:name w:val="Footnote Text Char"/>
    <w:basedOn w:val="DefaultParagraphFont"/>
    <w:semiHidden/>
    <w:rsid w:val="00427769"/>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427769"/>
    <w:rPr>
      <w:rFonts w:ascii="Arial Armenian" w:eastAsia="Times New Roman" w:hAnsi="Arial Armenian" w:cs="Times New Roman"/>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link w:val="BVIfnr1"/>
    <w:uiPriority w:val="99"/>
    <w:qFormat/>
    <w:rsid w:val="00427769"/>
    <w:rPr>
      <w:vertAlign w:val="superscript"/>
    </w:rPr>
  </w:style>
  <w:style w:type="table" w:styleId="TableGrid">
    <w:name w:val="Table Grid"/>
    <w:basedOn w:val="TableNormal"/>
    <w:uiPriority w:val="59"/>
    <w:rsid w:val="004277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List Paragraph2,Bullets,List Paragraph nowy,List Paragraph (numbered (a)),Liste 1,List Paragraph 1,List_Paragraph,Multilevel para_II,References,IBL List Paragraph,Numbered List Paragraph,Bullet1,List Paragraph4,OBC Bulle"/>
    <w:basedOn w:val="Normal"/>
    <w:link w:val="ListParagraphChar"/>
    <w:uiPriority w:val="34"/>
    <w:qFormat/>
    <w:rsid w:val="00427769"/>
    <w:pPr>
      <w:ind w:left="720"/>
      <w:contextualSpacing/>
    </w:pPr>
    <w:rPr>
      <w:rFonts w:ascii="Arial Armenian" w:hAnsi="Arial Armenian"/>
    </w:rPr>
  </w:style>
  <w:style w:type="character" w:customStyle="1" w:styleId="ListParagraphChar">
    <w:name w:val="List Paragraph Char"/>
    <w:aliases w:val="Akapit z listą BS Char,List Paragraph2 Char,Bullets Char,List Paragraph nowy Char,List Paragraph (numbered (a)) Char,Liste 1 Char,List Paragraph 1 Char,List_Paragraph Char,Multilevel para_II Char,References Char,Bullet1 Char"/>
    <w:link w:val="ListParagraph"/>
    <w:uiPriority w:val="34"/>
    <w:qFormat/>
    <w:locked/>
    <w:rsid w:val="00427769"/>
    <w:rPr>
      <w:rFonts w:ascii="Arial Armenian" w:eastAsia="Times New Roman" w:hAnsi="Arial Armenian" w:cs="Times New Roman"/>
      <w:sz w:val="24"/>
      <w:szCs w:val="24"/>
    </w:rPr>
  </w:style>
  <w:style w:type="character" w:styleId="Hyperlink">
    <w:name w:val="Hyperlink"/>
    <w:uiPriority w:val="99"/>
    <w:unhideWhenUsed/>
    <w:rsid w:val="00427769"/>
    <w:rPr>
      <w:color w:val="0563C1"/>
      <w:u w:val="single"/>
    </w:rPr>
  </w:style>
  <w:style w:type="paragraph" w:styleId="Caption">
    <w:name w:val="caption"/>
    <w:basedOn w:val="Normal"/>
    <w:next w:val="Normal"/>
    <w:uiPriority w:val="35"/>
    <w:qFormat/>
    <w:rsid w:val="00427769"/>
    <w:pPr>
      <w:spacing w:before="120" w:after="120"/>
      <w:jc w:val="both"/>
    </w:pPr>
    <w:rPr>
      <w:rFonts w:ascii="Times Armenian" w:hAnsi="Times Armenian"/>
      <w:b/>
      <w:bCs/>
      <w:sz w:val="20"/>
      <w:lang w:val="en-GB"/>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427769"/>
    <w:pPr>
      <w:spacing w:line="240" w:lineRule="exact"/>
    </w:pPr>
    <w:rPr>
      <w:vertAlign w:val="superscript"/>
    </w:rPr>
  </w:style>
  <w:style w:type="character" w:customStyle="1" w:styleId="Heading2Char">
    <w:name w:val="Heading 2 Char"/>
    <w:basedOn w:val="DefaultParagraphFont"/>
    <w:link w:val="Heading2"/>
    <w:rsid w:val="00A22B9C"/>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rsid w:val="00A22B9C"/>
    <w:pPr>
      <w:tabs>
        <w:tab w:val="center" w:pos="4320"/>
        <w:tab w:val="right" w:pos="8640"/>
      </w:tabs>
    </w:pPr>
  </w:style>
  <w:style w:type="character" w:customStyle="1" w:styleId="FooterChar">
    <w:name w:val="Footer Char"/>
    <w:basedOn w:val="DefaultParagraphFont"/>
    <w:link w:val="Footer"/>
    <w:rsid w:val="00A22B9C"/>
    <w:rPr>
      <w:rFonts w:ascii="Times New Roman" w:eastAsia="Times New Roman" w:hAnsi="Times New Roman" w:cs="Times New Roman"/>
      <w:sz w:val="24"/>
      <w:szCs w:val="24"/>
    </w:rPr>
  </w:style>
  <w:style w:type="character" w:styleId="PageNumber">
    <w:name w:val="page number"/>
    <w:basedOn w:val="DefaultParagraphFont"/>
    <w:rsid w:val="00A22B9C"/>
  </w:style>
  <w:style w:type="paragraph" w:customStyle="1" w:styleId="a">
    <w:name w:val="Գծապատկեր"/>
    <w:basedOn w:val="Normal"/>
    <w:link w:val="Char"/>
    <w:autoRedefine/>
    <w:qFormat/>
    <w:rsid w:val="00A22B9C"/>
    <w:pPr>
      <w:keepNext/>
      <w:keepLines/>
      <w:numPr>
        <w:numId w:val="4"/>
      </w:numPr>
      <w:tabs>
        <w:tab w:val="left" w:pos="1701"/>
        <w:tab w:val="left" w:pos="1985"/>
      </w:tabs>
      <w:autoSpaceDE w:val="0"/>
      <w:autoSpaceDN w:val="0"/>
      <w:adjustRightInd w:val="0"/>
      <w:spacing w:after="120" w:line="276" w:lineRule="auto"/>
      <w:ind w:left="0" w:firstLine="0"/>
    </w:pPr>
    <w:rPr>
      <w:rFonts w:ascii="GHEA Grapalat" w:hAnsi="GHEA Grapalat"/>
      <w:sz w:val="22"/>
      <w:szCs w:val="22"/>
    </w:rPr>
  </w:style>
  <w:style w:type="character" w:customStyle="1" w:styleId="Char">
    <w:name w:val="Գծապատկեր Char"/>
    <w:link w:val="a"/>
    <w:locked/>
    <w:rsid w:val="00A22B9C"/>
    <w:rPr>
      <w:rFonts w:ascii="GHEA Grapalat" w:eastAsia="Times New Roman" w:hAnsi="GHEA Grapalat" w:cs="Times New Roman"/>
    </w:rPr>
  </w:style>
  <w:style w:type="paragraph" w:styleId="BalloonText">
    <w:name w:val="Balloon Text"/>
    <w:basedOn w:val="Normal"/>
    <w:link w:val="BalloonTextChar"/>
    <w:uiPriority w:val="99"/>
    <w:semiHidden/>
    <w:unhideWhenUsed/>
    <w:rsid w:val="00504C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CA5"/>
    <w:rPr>
      <w:rFonts w:ascii="Segoe UI" w:eastAsia="Times New Roman" w:hAnsi="Segoe UI" w:cs="Segoe UI"/>
      <w:sz w:val="18"/>
      <w:szCs w:val="18"/>
    </w:rPr>
  </w:style>
  <w:style w:type="character" w:customStyle="1" w:styleId="Heading7Char">
    <w:name w:val="Heading 7 Char"/>
    <w:basedOn w:val="DefaultParagraphFont"/>
    <w:link w:val="Heading7"/>
    <w:uiPriority w:val="9"/>
    <w:semiHidden/>
    <w:rsid w:val="00360248"/>
    <w:rPr>
      <w:rFonts w:asciiTheme="majorHAnsi" w:eastAsiaTheme="majorEastAsia" w:hAnsiTheme="majorHAnsi" w:cstheme="majorBidi"/>
      <w:i/>
      <w:iCs/>
      <w:color w:val="1F4D78" w:themeColor="accent1" w:themeShade="7F"/>
      <w:sz w:val="24"/>
      <w:szCs w:val="24"/>
    </w:rPr>
  </w:style>
  <w:style w:type="character" w:customStyle="1" w:styleId="Heading1Char1">
    <w:name w:val="Heading 1 Char1"/>
    <w:uiPriority w:val="9"/>
    <w:locked/>
    <w:rsid w:val="00A139E3"/>
    <w:rPr>
      <w:rFonts w:ascii="Times Armenian" w:eastAsia="Times New Roman" w:hAnsi="Times Armenian" w:cs="Times New Roman"/>
      <w:b/>
      <w:i/>
      <w:noProof/>
      <w:sz w:val="28"/>
      <w:szCs w:val="20"/>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164">
      <w:bodyDiv w:val="1"/>
      <w:marLeft w:val="0"/>
      <w:marRight w:val="0"/>
      <w:marTop w:val="0"/>
      <w:marBottom w:val="0"/>
      <w:divBdr>
        <w:top w:val="none" w:sz="0" w:space="0" w:color="auto"/>
        <w:left w:val="none" w:sz="0" w:space="0" w:color="auto"/>
        <w:bottom w:val="none" w:sz="0" w:space="0" w:color="auto"/>
        <w:right w:val="none" w:sz="0" w:space="0" w:color="auto"/>
      </w:divBdr>
      <w:divsChild>
        <w:div w:id="581643143">
          <w:marLeft w:val="0"/>
          <w:marRight w:val="0"/>
          <w:marTop w:val="0"/>
          <w:marBottom w:val="0"/>
          <w:divBdr>
            <w:top w:val="none" w:sz="0" w:space="0" w:color="auto"/>
            <w:left w:val="none" w:sz="0" w:space="0" w:color="auto"/>
            <w:bottom w:val="none" w:sz="0" w:space="0" w:color="auto"/>
            <w:right w:val="none" w:sz="0" w:space="0" w:color="auto"/>
          </w:divBdr>
        </w:div>
      </w:divsChild>
    </w:div>
    <w:div w:id="604465890">
      <w:bodyDiv w:val="1"/>
      <w:marLeft w:val="0"/>
      <w:marRight w:val="0"/>
      <w:marTop w:val="0"/>
      <w:marBottom w:val="0"/>
      <w:divBdr>
        <w:top w:val="none" w:sz="0" w:space="0" w:color="auto"/>
        <w:left w:val="none" w:sz="0" w:space="0" w:color="auto"/>
        <w:bottom w:val="none" w:sz="0" w:space="0" w:color="auto"/>
        <w:right w:val="none" w:sz="0" w:space="0" w:color="auto"/>
      </w:divBdr>
    </w:div>
    <w:div w:id="724061927">
      <w:bodyDiv w:val="1"/>
      <w:marLeft w:val="0"/>
      <w:marRight w:val="0"/>
      <w:marTop w:val="0"/>
      <w:marBottom w:val="0"/>
      <w:divBdr>
        <w:top w:val="none" w:sz="0" w:space="0" w:color="auto"/>
        <w:left w:val="none" w:sz="0" w:space="0" w:color="auto"/>
        <w:bottom w:val="none" w:sz="0" w:space="0" w:color="auto"/>
        <w:right w:val="none" w:sz="0" w:space="0" w:color="auto"/>
      </w:divBdr>
    </w:div>
    <w:div w:id="1342202197">
      <w:bodyDiv w:val="1"/>
      <w:marLeft w:val="0"/>
      <w:marRight w:val="0"/>
      <w:marTop w:val="0"/>
      <w:marBottom w:val="0"/>
      <w:divBdr>
        <w:top w:val="none" w:sz="0" w:space="0" w:color="auto"/>
        <w:left w:val="none" w:sz="0" w:space="0" w:color="auto"/>
        <w:bottom w:val="none" w:sz="0" w:space="0" w:color="auto"/>
        <w:right w:val="none" w:sz="0" w:space="0" w:color="auto"/>
      </w:divBdr>
    </w:div>
    <w:div w:id="136204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1.10.&#1359;&#1381;&#1394;&#1381;&#1391;&#1377;&#1398;&#1412;&#1398;&#1381;&#1408;/2.&#1342;&#1377;&#1389;&#1405;&#1381;&#1408;%20(&#1384;&#1405;&#1407;%20&#1379;&#1400;&#1408;&#1390;&#1377;&#1404;&#1377;&#1391;&#1377;&#1398;%20&#1415;%20&#1407;&#1398;&#1407;&#1381;&#1405;&#1377;&#1379;&#1387;&#1407;&#1377;&#1391;&#1377;&#1398;%20&#1380;&#1377;&#1405;&#1377;&#1391;&#1377;&#1408;&#1379;&#1400;&#1410;&#1396;&#1398;&#1381;&#1408;&#1387;).xlsx" TargetMode="External"/><Relationship Id="rId1" Type="http://schemas.openxmlformats.org/officeDocument/2006/relationships/hyperlink" Target="1.10.&#1359;&#1381;&#1394;&#1381;&#1391;&#1377;&#1398;&#1412;&#1398;&#1381;&#1408;/1.&#1342;&#1377;&#1389;&#1405;&#1381;&#1408;%20(&#1384;&#1405;&#1407;%20&#1379;&#1400;&#1408;&#1390;&#1377;&#1404;&#1377;&#1391;&#1377;&#1398;%20&#1380;&#1377;&#1405;&#1377;&#1391;&#1377;&#1408;&#1379;&#1396;&#1377;&#1398;).xls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68535507868561762"/>
          <c:y val="2.3441162681669011E-2"/>
        </c:manualLayout>
      </c:layout>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19961202107120571"/>
          <c:w val="0.56636344336949762"/>
          <c:h val="0.70802606845963811"/>
        </c:manualLayout>
      </c:layout>
      <c:pieChart>
        <c:varyColors val="1"/>
        <c:ser>
          <c:idx val="0"/>
          <c:order val="0"/>
          <c:tx>
            <c:strRef>
              <c:f>Sheet1!$B$1</c:f>
              <c:strCache>
                <c:ptCount val="1"/>
                <c:pt idx="0">
                  <c:v>2023թ.</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8-0C9B-4C40-AE70-0D42D11ED47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7-0C9B-4C40-AE70-0D42D11ED478}"/>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A-0C9B-4C40-AE70-0D42D11ED478}"/>
              </c:ext>
            </c:extLst>
          </c:dPt>
          <c:dPt>
            <c:idx val="3"/>
            <c:bubble3D val="0"/>
            <c:spPr>
              <a:solidFill>
                <a:srgbClr val="FAC090"/>
              </a:solidFill>
              <a:ln w="19050">
                <a:solidFill>
                  <a:schemeClr val="lt1"/>
                </a:solidFill>
              </a:ln>
              <a:effectLst/>
            </c:spPr>
            <c:extLst>
              <c:ext xmlns:c16="http://schemas.microsoft.com/office/drawing/2014/chart" uri="{C3380CC4-5D6E-409C-BE32-E72D297353CC}">
                <c16:uniqueId val="{00000005-0C9B-4C40-AE70-0D42D11ED478}"/>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6-0C9B-4C40-AE70-0D42D11ED478}"/>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4-0C9B-4C40-AE70-0D42D11ED478}"/>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3-0C9B-4C40-AE70-0D42D11ED478}"/>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1-0C9B-4C40-AE70-0D42D11ED478}"/>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02-0C9B-4C40-AE70-0D42D11ED478}"/>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09-0C9B-4C40-AE70-0D42D11ED478}"/>
              </c:ext>
            </c:extLst>
          </c:dPt>
          <c:dLbls>
            <c:dLbl>
              <c:idx val="0"/>
              <c:layout>
                <c:manualLayout>
                  <c:x val="-9.0744636162356965E-2"/>
                  <c:y val="-0.189967920676582"/>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8-0C9B-4C40-AE70-0D42D11ED478}"/>
                </c:ext>
              </c:extLst>
            </c:dLbl>
            <c:dLbl>
              <c:idx val="1"/>
              <c:layout>
                <c:manualLayout>
                  <c:x val="7.4749455956994545E-2"/>
                  <c:y val="-0.10806154504948484"/>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0C9B-4C40-AE70-0D42D11ED478}"/>
                </c:ext>
              </c:extLst>
            </c:dLbl>
            <c:dLbl>
              <c:idx val="2"/>
              <c:layout>
                <c:manualLayout>
                  <c:x val="3.4657039711191343E-2"/>
                  <c:y val="5.385967049477465E-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A-0C9B-4C40-AE70-0D42D11ED478}"/>
                </c:ext>
              </c:extLst>
            </c:dLbl>
            <c:dLbl>
              <c:idx val="3"/>
              <c:layout>
                <c:manualLayout>
                  <c:x val="8.2069795427196154E-2"/>
                  <c:y val="0.12566530449516594"/>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C9B-4C40-AE70-0D42D11ED478}"/>
                </c:ext>
              </c:extLst>
            </c:dLbl>
            <c:dLbl>
              <c:idx val="4"/>
              <c:layout>
                <c:manualLayout>
                  <c:x val="-5.9931587973885939E-2"/>
                  <c:y val="5.7696638131204063E-2"/>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0C9B-4C40-AE70-0D42D11ED478}"/>
                </c:ext>
              </c:extLst>
            </c:dLbl>
            <c:dLbl>
              <c:idx val="5"/>
              <c:layout>
                <c:manualLayout>
                  <c:x val="-7.5597499771012378E-3"/>
                  <c:y val="-5.9497731559926319E-2"/>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0C9B-4C40-AE70-0D42D11ED478}"/>
                </c:ext>
              </c:extLst>
            </c:dLbl>
            <c:dLbl>
              <c:idx val="6"/>
              <c:layout>
                <c:manualLayout>
                  <c:x val="3.8495188101487311E-2"/>
                  <c:y val="-6.5451786881070242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C9B-4C40-AE70-0D42D11ED478}"/>
                </c:ext>
              </c:extLst>
            </c:dLbl>
            <c:dLbl>
              <c:idx val="7"/>
              <c:layout>
                <c:manualLayout>
                  <c:x val="6.4966473053684207E-2"/>
                  <c:y val="-6.695017553185599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C9B-4C40-AE70-0D42D11ED478}"/>
                </c:ext>
              </c:extLst>
            </c:dLbl>
            <c:dLbl>
              <c:idx val="8"/>
              <c:layout>
                <c:manualLayout>
                  <c:x val="-6.1589458357416513E-2"/>
                  <c:y val="0.15510998888851973"/>
                </c:manualLayout>
              </c:layout>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0C9B-4C40-AE70-0D42D11ED478}"/>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0C9B-4C40-AE70-0D42D11ED478}"/>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Sheet1!$A$2:$A$11</c:f>
              <c:strCache>
                <c:ptCount val="10"/>
                <c:pt idx="0">
                  <c:v>Ընդհանուր բնույթի հանրային ծառայություններ</c:v>
                </c:pt>
                <c:pt idx="1">
                  <c:v>Պաշտպանություն</c:v>
                </c:pt>
                <c:pt idx="2">
                  <c:v>Հասար. կարգ, անվտանգ. և դատակ. գործուն.</c:v>
                </c:pt>
                <c:pt idx="3">
                  <c:v>Տնտեսական հարաբերություններ</c:v>
                </c:pt>
                <c:pt idx="4">
                  <c:v>Շրջակա միջավայրի պաշտպանություն</c:v>
                </c:pt>
                <c:pt idx="5">
                  <c:v>Բնակարան. շինարար. և կոմունալ ծառայություններ</c:v>
                </c:pt>
                <c:pt idx="6">
                  <c:v>Առողջապահություն</c:v>
                </c:pt>
                <c:pt idx="7">
                  <c:v>Հանգիստ, մշակույթ և կրոն</c:v>
                </c:pt>
                <c:pt idx="8">
                  <c:v>Կրթություն</c:v>
                </c:pt>
                <c:pt idx="9">
                  <c:v>Սոցիալական պաշտպանություն</c:v>
                </c:pt>
              </c:strCache>
            </c:strRef>
          </c:cat>
          <c:val>
            <c:numRef>
              <c:f>Sheet1!$B$2:$B$11</c:f>
              <c:numCache>
                <c:formatCode>_(* #,##0.0_);_(* \(#,##0.0\);_(* "-"??_);_(@_)</c:formatCode>
                <c:ptCount val="10"/>
                <c:pt idx="0">
                  <c:v>522.51881164999998</c:v>
                </c:pt>
                <c:pt idx="1">
                  <c:v>525.86361180000006</c:v>
                </c:pt>
                <c:pt idx="2">
                  <c:v>207.56870669999998</c:v>
                </c:pt>
                <c:pt idx="3">
                  <c:v>199.15667488</c:v>
                </c:pt>
                <c:pt idx="4">
                  <c:v>7.7098140900000001</c:v>
                </c:pt>
                <c:pt idx="5">
                  <c:v>10.894697320000001</c:v>
                </c:pt>
                <c:pt idx="6">
                  <c:v>141.27912312000001</c:v>
                </c:pt>
                <c:pt idx="7">
                  <c:v>43.269159610000003</c:v>
                </c:pt>
                <c:pt idx="8">
                  <c:v>183.57100743999999</c:v>
                </c:pt>
                <c:pt idx="9">
                  <c:v>705.79319257000009</c:v>
                </c:pt>
              </c:numCache>
            </c:numRef>
          </c:val>
          <c:extLst>
            <c:ext xmlns:c16="http://schemas.microsoft.com/office/drawing/2014/chart" uri="{C3380CC4-5D6E-409C-BE32-E72D297353CC}">
              <c16:uniqueId val="{00000000-0C9B-4C40-AE70-0D42D11ED478}"/>
            </c:ext>
          </c:extLst>
        </c:ser>
        <c:dLbls>
          <c:showLegendKey val="0"/>
          <c:showVal val="0"/>
          <c:showCatName val="0"/>
          <c:showSerName val="0"/>
          <c:showPercent val="1"/>
          <c:showBubbleSize val="0"/>
          <c:showLeaderLines val="1"/>
        </c:dLbls>
        <c:firstSliceAng val="126"/>
      </c:pieChart>
      <c:spPr>
        <a:noFill/>
        <a:ln>
          <a:noFill/>
        </a:ln>
        <a:effectLst/>
      </c:spPr>
    </c:plotArea>
    <c:legend>
      <c:legendPos val="b"/>
      <c:layout>
        <c:manualLayout>
          <c:xMode val="edge"/>
          <c:yMode val="edge"/>
          <c:x val="0.59929722800991803"/>
          <c:y val="0.14057720633022139"/>
          <c:w val="0.3864107652791044"/>
          <c:h val="0.83849297318847804"/>
        </c:manualLayout>
      </c:layout>
      <c:overlay val="0"/>
      <c:spPr>
        <a:noFill/>
        <a:ln>
          <a:noFill/>
        </a:ln>
        <a:effectLst/>
      </c:spPr>
      <c:txPr>
        <a:bodyPr rot="0" spcFirstLastPara="1" vertOverflow="ellipsis" vert="horz" wrap="square" anchor="ctr" anchorCtr="1"/>
        <a:lstStyle/>
        <a:p>
          <a:pPr>
            <a:defRPr sz="65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68913516722738966"/>
          <c:y val="2.3441162681669011E-2"/>
        </c:manualLayout>
      </c:layout>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19961202107120571"/>
          <c:w val="0.56636344336949762"/>
          <c:h val="0.70802606845963811"/>
        </c:manualLayout>
      </c:layout>
      <c:pieChart>
        <c:varyColors val="1"/>
        <c:ser>
          <c:idx val="0"/>
          <c:order val="0"/>
          <c:tx>
            <c:strRef>
              <c:f>Sheet1!$B$1</c:f>
              <c:strCache>
                <c:ptCount val="1"/>
                <c:pt idx="0">
                  <c:v>2024թ.</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644-47DF-9FEA-23D3862FBD2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644-47DF-9FEA-23D3862FBD2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0644-47DF-9FEA-23D3862FBD2B}"/>
              </c:ext>
            </c:extLst>
          </c:dPt>
          <c:dPt>
            <c:idx val="3"/>
            <c:bubble3D val="0"/>
            <c:spPr>
              <a:solidFill>
                <a:srgbClr val="FAC090"/>
              </a:solidFill>
              <a:ln w="19050">
                <a:solidFill>
                  <a:schemeClr val="lt1"/>
                </a:solidFill>
              </a:ln>
              <a:effectLst/>
            </c:spPr>
            <c:extLst>
              <c:ext xmlns:c16="http://schemas.microsoft.com/office/drawing/2014/chart" uri="{C3380CC4-5D6E-409C-BE32-E72D297353CC}">
                <c16:uniqueId val="{00000007-0644-47DF-9FEA-23D3862FBD2B}"/>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0644-47DF-9FEA-23D3862FBD2B}"/>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0644-47DF-9FEA-23D3862FBD2B}"/>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0644-47DF-9FEA-23D3862FBD2B}"/>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0644-47DF-9FEA-23D3862FBD2B}"/>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11-0644-47DF-9FEA-23D3862FBD2B}"/>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13-0644-47DF-9FEA-23D3862FBD2B}"/>
              </c:ext>
            </c:extLst>
          </c:dPt>
          <c:dLbls>
            <c:dLbl>
              <c:idx val="0"/>
              <c:layout>
                <c:manualLayout>
                  <c:x val="-7.0604306230674235E-2"/>
                  <c:y val="-0.20314111579934357"/>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644-47DF-9FEA-23D3862FBD2B}"/>
                </c:ext>
              </c:extLst>
            </c:dLbl>
            <c:dLbl>
              <c:idx val="1"/>
              <c:layout>
                <c:manualLayout>
                  <c:x val="7.121941436020858E-2"/>
                  <c:y val="-9.9314853575792478E-2"/>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644-47DF-9FEA-23D3862FBD2B}"/>
                </c:ext>
              </c:extLst>
            </c:dLbl>
            <c:dLbl>
              <c:idx val="2"/>
              <c:layout>
                <c:manualLayout>
                  <c:x val="2.2482952266345769E-2"/>
                  <c:y val="4.4905515502545304E-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644-47DF-9FEA-23D3862FBD2B}"/>
                </c:ext>
              </c:extLst>
            </c:dLbl>
            <c:dLbl>
              <c:idx val="3"/>
              <c:layout>
                <c:manualLayout>
                  <c:x val="7.9161810549854536E-2"/>
                  <c:y val="0.12561989877847549"/>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0644-47DF-9FEA-23D3862FBD2B}"/>
                </c:ext>
              </c:extLst>
            </c:dLbl>
            <c:dLbl>
              <c:idx val="4"/>
              <c:layout>
                <c:manualLayout>
                  <c:x val="-2.4738559304635657E-2"/>
                  <c:y val="4.0119457641634458E-2"/>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0644-47DF-9FEA-23D3862FBD2B}"/>
                </c:ext>
              </c:extLst>
            </c:dLbl>
            <c:dLbl>
              <c:idx val="5"/>
              <c:layout>
                <c:manualLayout>
                  <c:x val="-2.8342982397958377E-2"/>
                  <c:y val="-0.10638005692326434"/>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0644-47DF-9FEA-23D3862FBD2B}"/>
                </c:ext>
              </c:extLst>
            </c:dLbl>
            <c:dLbl>
              <c:idx val="6"/>
              <c:layout>
                <c:manualLayout>
                  <c:x val="5.8551345341760076E-2"/>
                  <c:y val="-8.7891808882539474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0644-47DF-9FEA-23D3862FBD2B}"/>
                </c:ext>
              </c:extLst>
            </c:dLbl>
            <c:dLbl>
              <c:idx val="7"/>
              <c:layout>
                <c:manualLayout>
                  <c:x val="8.5022630293956944E-2"/>
                  <c:y val="-5.1482699683636592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0644-47DF-9FEA-23D3862FBD2B}"/>
                </c:ext>
              </c:extLst>
            </c:dLbl>
            <c:dLbl>
              <c:idx val="8"/>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0644-47DF-9FEA-23D3862FBD2B}"/>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0644-47DF-9FEA-23D3862FBD2B}"/>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Sheet1!$A$2:$A$11</c:f>
              <c:strCache>
                <c:ptCount val="10"/>
                <c:pt idx="0">
                  <c:v>Ընդհանուր բնույթի հանրային ծառայություններ</c:v>
                </c:pt>
                <c:pt idx="1">
                  <c:v>Պաշտպանություն</c:v>
                </c:pt>
                <c:pt idx="2">
                  <c:v>Հասար. կարգ, անվտանգ. և դատակ. գործուն.</c:v>
                </c:pt>
                <c:pt idx="3">
                  <c:v>Տնտեսական հարաբերություններ</c:v>
                </c:pt>
                <c:pt idx="4">
                  <c:v>Շրջակա միջավայրի պաշտպանություն</c:v>
                </c:pt>
                <c:pt idx="5">
                  <c:v>Բնակարան. շինարար. և կոմունալ ծառայություններ</c:v>
                </c:pt>
                <c:pt idx="6">
                  <c:v>Առողջապահություն</c:v>
                </c:pt>
                <c:pt idx="7">
                  <c:v>Հանգիստ, մշակույթ և կրոն</c:v>
                </c:pt>
                <c:pt idx="8">
                  <c:v>Կրթություն</c:v>
                </c:pt>
                <c:pt idx="9">
                  <c:v>Սոցիալական պաշտպանություն</c:v>
                </c:pt>
              </c:strCache>
            </c:strRef>
          </c:cat>
          <c:val>
            <c:numRef>
              <c:f>Sheet1!$B$2:$B$11</c:f>
              <c:numCache>
                <c:formatCode>_(* #,##0.0_);_(* \(#,##0.0\);_(* "-"??_);_(@_)</c:formatCode>
                <c:ptCount val="10"/>
                <c:pt idx="0">
                  <c:v>671.28528175999998</c:v>
                </c:pt>
                <c:pt idx="1">
                  <c:v>549.02497886000003</c:v>
                </c:pt>
                <c:pt idx="2">
                  <c:v>227.83711662000002</c:v>
                </c:pt>
                <c:pt idx="3">
                  <c:v>203.66731700999998</c:v>
                </c:pt>
                <c:pt idx="4">
                  <c:v>10.748577560000001</c:v>
                </c:pt>
                <c:pt idx="5">
                  <c:v>14.522950439999999</c:v>
                </c:pt>
                <c:pt idx="6">
                  <c:v>154.81912997000001</c:v>
                </c:pt>
                <c:pt idx="7">
                  <c:v>40.495871840000007</c:v>
                </c:pt>
                <c:pt idx="8">
                  <c:v>231.00424722</c:v>
                </c:pt>
                <c:pt idx="9">
                  <c:v>851.91342671000007</c:v>
                </c:pt>
              </c:numCache>
            </c:numRef>
          </c:val>
          <c:extLst>
            <c:ext xmlns:c16="http://schemas.microsoft.com/office/drawing/2014/chart" uri="{C3380CC4-5D6E-409C-BE32-E72D297353CC}">
              <c16:uniqueId val="{00000014-0644-47DF-9FEA-23D3862FBD2B}"/>
            </c:ext>
          </c:extLst>
        </c:ser>
        <c:dLbls>
          <c:showLegendKey val="0"/>
          <c:showVal val="0"/>
          <c:showCatName val="0"/>
          <c:showSerName val="0"/>
          <c:showPercent val="1"/>
          <c:showBubbleSize val="0"/>
          <c:showLeaderLines val="1"/>
        </c:dLbls>
        <c:firstSliceAng val="126"/>
      </c:pieChart>
      <c:spPr>
        <a:noFill/>
        <a:ln>
          <a:noFill/>
        </a:ln>
        <a:effectLst/>
      </c:spPr>
    </c:plotArea>
    <c:legend>
      <c:legendPos val="b"/>
      <c:layout>
        <c:manualLayout>
          <c:xMode val="edge"/>
          <c:yMode val="edge"/>
          <c:x val="0.59929724488410063"/>
          <c:y val="0.12182427618488617"/>
          <c:w val="0.40070275511589931"/>
          <c:h val="0.85942279366977858"/>
        </c:manualLayout>
      </c:layout>
      <c:overlay val="0"/>
      <c:spPr>
        <a:noFill/>
        <a:ln>
          <a:noFill/>
        </a:ln>
        <a:effectLst/>
      </c:spPr>
      <c:txPr>
        <a:bodyPr rot="0" spcFirstLastPara="1" vertOverflow="ellipsis" vert="horz" wrap="square" anchor="ctr" anchorCtr="1"/>
        <a:lstStyle/>
        <a:p>
          <a:pPr>
            <a:defRPr sz="65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7728109191260389E-2"/>
          <c:y val="6.9194083059898048E-2"/>
          <c:w val="0.88082561120979919"/>
          <c:h val="0.75283137825188562"/>
        </c:manualLayout>
      </c:layout>
      <c:barChart>
        <c:barDir val="col"/>
        <c:grouping val="clustered"/>
        <c:varyColors val="0"/>
        <c:ser>
          <c:idx val="1"/>
          <c:order val="1"/>
          <c:tx>
            <c:strRef>
              <c:f>Sheet1!$A$3</c:f>
              <c:strCache>
                <c:ptCount val="1"/>
                <c:pt idx="0">
                  <c:v>2023թ. փաստ</c:v>
                </c:pt>
              </c:strCache>
            </c:strRef>
          </c:tx>
          <c:spPr>
            <a:solidFill>
              <a:schemeClr val="accent2"/>
            </a:solidFill>
            <a:ln>
              <a:noFill/>
            </a:ln>
            <a:effectLst/>
          </c:spPr>
          <c:invertIfNegative val="0"/>
          <c:dLbls>
            <c:dLbl>
              <c:idx val="0"/>
              <c:layout>
                <c:manualLayout>
                  <c:x val="-5.6772102743022374E-3"/>
                  <c:y val="5.828669250557050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050-478B-BB11-EFCBA5D4756B}"/>
                </c:ext>
              </c:extLst>
            </c:dLbl>
            <c:dLbl>
              <c:idx val="1"/>
              <c:layout>
                <c:manualLayout>
                  <c:x val="-6.8126523291626847E-3"/>
                  <c:y val="2.914334625278525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050-478B-BB11-EFCBA5D4756B}"/>
                </c:ext>
              </c:extLst>
            </c:dLbl>
            <c:dLbl>
              <c:idx val="2"/>
              <c:layout>
                <c:manualLayout>
                  <c:x val="-4.5417682194417901E-3"/>
                  <c:y val="5.828669250557050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050-478B-BB11-EFCBA5D4756B}"/>
                </c:ext>
              </c:extLst>
            </c:dLbl>
            <c:dLbl>
              <c:idx val="3"/>
              <c:layout>
                <c:manualLayout>
                  <c:x val="-1.5874415182893578E-2"/>
                  <c:y val="1.16574703439684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050-478B-BB11-EFCBA5D4756B}"/>
                </c:ext>
              </c:extLst>
            </c:dLbl>
            <c:dLbl>
              <c:idx val="4"/>
              <c:layout>
                <c:manualLayout>
                  <c:x val="-3.406326164581384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050-478B-BB11-EFCBA5D4756B}"/>
                </c:ext>
              </c:extLst>
            </c:dLbl>
            <c:dLbl>
              <c:idx val="5"/>
              <c:layout>
                <c:manualLayout>
                  <c:x val="1.1354420548604475E-3"/>
                  <c:y val="8.743003875835576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050-478B-BB11-EFCBA5D4756B}"/>
                </c:ext>
              </c:extLst>
            </c:dLbl>
            <c:dLbl>
              <c:idx val="6"/>
              <c:layout>
                <c:manualLayout>
                  <c:x val="-5.6772102743022374E-3"/>
                  <c:y val="8.743003875835576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050-478B-BB11-EFCBA5D4756B}"/>
                </c:ext>
              </c:extLst>
            </c:dLbl>
            <c:dLbl>
              <c:idx val="7"/>
              <c:layout>
                <c:manualLayout>
                  <c:x val="-1.5006424504080554E-2"/>
                  <c:y val="1.900624490904011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1050-478B-BB11-EFCBA5D4756B}"/>
                </c:ext>
              </c:extLst>
            </c:dLbl>
            <c:dLbl>
              <c:idx val="8"/>
              <c:layout>
                <c:manualLayout>
                  <c:x val="-5.6772102743022374E-3"/>
                  <c:y val="1.16573385011141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1050-478B-BB11-EFCBA5D4756B}"/>
                </c:ext>
              </c:extLst>
            </c:dLbl>
            <c:dLbl>
              <c:idx val="9"/>
              <c:layout>
                <c:manualLayout>
                  <c:x val="-6.8126523291626015E-3"/>
                  <c:y val="2.914334625278418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1050-478B-BB11-EFCBA5D4756B}"/>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Sheet1!$B$1:$K$1</c:f>
              <c:strCache>
                <c:ptCount val="10"/>
                <c:pt idx="0">
                  <c:v>01</c:v>
                </c:pt>
                <c:pt idx="1">
                  <c:v>02</c:v>
                </c:pt>
                <c:pt idx="2">
                  <c:v>03</c:v>
                </c:pt>
                <c:pt idx="3">
                  <c:v>04</c:v>
                </c:pt>
                <c:pt idx="4">
                  <c:v>05</c:v>
                </c:pt>
                <c:pt idx="5">
                  <c:v>06</c:v>
                </c:pt>
                <c:pt idx="6">
                  <c:v>07</c:v>
                </c:pt>
                <c:pt idx="7">
                  <c:v>08</c:v>
                </c:pt>
                <c:pt idx="8">
                  <c:v>09</c:v>
                </c:pt>
                <c:pt idx="9">
                  <c:v>10</c:v>
                </c:pt>
              </c:strCache>
            </c:strRef>
          </c:cat>
          <c:val>
            <c:numRef>
              <c:f>Sheet1!$B$3:$K$3</c:f>
              <c:numCache>
                <c:formatCode>_(* #,##0.0_);_(* \(#,##0.0\);_(* "-"??_);_(@_)</c:formatCode>
                <c:ptCount val="10"/>
                <c:pt idx="0">
                  <c:v>522.51881164999998</c:v>
                </c:pt>
                <c:pt idx="1">
                  <c:v>525.86361180000006</c:v>
                </c:pt>
                <c:pt idx="2">
                  <c:v>207.56870669999998</c:v>
                </c:pt>
                <c:pt idx="3">
                  <c:v>199.15667488</c:v>
                </c:pt>
                <c:pt idx="4">
                  <c:v>7.7098140900000001</c:v>
                </c:pt>
                <c:pt idx="5">
                  <c:v>10.894697320000001</c:v>
                </c:pt>
                <c:pt idx="6">
                  <c:v>141.27912312000001</c:v>
                </c:pt>
                <c:pt idx="7">
                  <c:v>43.269159610000003</c:v>
                </c:pt>
                <c:pt idx="8">
                  <c:v>183.57100743999999</c:v>
                </c:pt>
                <c:pt idx="9">
                  <c:v>705.79319257000009</c:v>
                </c:pt>
              </c:numCache>
            </c:numRef>
          </c:val>
          <c:extLst>
            <c:ext xmlns:c16="http://schemas.microsoft.com/office/drawing/2014/chart" uri="{C3380CC4-5D6E-409C-BE32-E72D297353CC}">
              <c16:uniqueId val="{0000000A-1050-478B-BB11-EFCBA5D4756B}"/>
            </c:ext>
          </c:extLst>
        </c:ser>
        <c:ser>
          <c:idx val="0"/>
          <c:order val="0"/>
          <c:tx>
            <c:strRef>
              <c:f>Sheet1!$A$2</c:f>
              <c:strCache>
                <c:ptCount val="1"/>
                <c:pt idx="0">
                  <c:v>2024թ. փաստ</c:v>
                </c:pt>
              </c:strCache>
            </c:strRef>
          </c:tx>
          <c:spPr>
            <a:ln w="28575" cap="rnd">
              <a:noFill/>
              <a:round/>
            </a:ln>
            <a:effectLst/>
          </c:spPr>
          <c:invertIfNegative val="0"/>
          <c:dLbls>
            <c:dLbl>
              <c:idx val="1"/>
              <c:layout>
                <c:manualLayout>
                  <c:x val="1.8680289059775583E-2"/>
                  <c:y val="4.846515751866492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1050-478B-BB11-EFCBA5D4756B}"/>
                </c:ext>
              </c:extLst>
            </c:dLbl>
            <c:dLbl>
              <c:idx val="2"/>
              <c:layout>
                <c:manualLayout>
                  <c:x val="2.2708841097208951E-3"/>
                  <c:y val="1.165733850111420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1050-478B-BB11-EFCBA5D4756B}"/>
                </c:ext>
              </c:extLst>
            </c:dLbl>
            <c:dLbl>
              <c:idx val="3"/>
              <c:layout>
                <c:manualLayout>
                  <c:x val="1.9815713861091846E-2"/>
                  <c:y val="1.558542762517046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5-1050-478B-BB11-EFCBA5D4756B}"/>
                </c:ext>
              </c:extLst>
            </c:dLbl>
            <c:dLbl>
              <c:idx val="4"/>
              <c:layout>
                <c:manualLayout>
                  <c:x val="1.1354420548604475E-3"/>
                  <c:y val="1.457167312639262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1050-478B-BB11-EFCBA5D4756B}"/>
                </c:ext>
              </c:extLst>
            </c:dLbl>
            <c:dLbl>
              <c:idx val="5"/>
              <c:layout>
                <c:manualLayout>
                  <c:x val="7.948094384023132E-3"/>
                  <c:y val="5.828669250557050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1050-478B-BB11-EFCBA5D4756B}"/>
                </c:ext>
              </c:extLst>
            </c:dLbl>
            <c:dLbl>
              <c:idx val="6"/>
              <c:layout>
                <c:manualLayout>
                  <c:x val="0"/>
                  <c:y val="8.743003875835576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1050-478B-BB11-EFCBA5D4756B}"/>
                </c:ext>
              </c:extLst>
            </c:dLbl>
            <c:dLbl>
              <c:idx val="7"/>
              <c:layout>
                <c:manualLayout>
                  <c:x val="1.1889428316655107E-2"/>
                  <c:y val="5.828581772106072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1050-478B-BB11-EFCBA5D4756B}"/>
                </c:ext>
              </c:extLst>
            </c:dLbl>
            <c:dLbl>
              <c:idx val="8"/>
              <c:layout>
                <c:manualLayout>
                  <c:x val="-1.1354420548603643E-3"/>
                  <c:y val="2.914334625278525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1050-478B-BB11-EFCBA5D4756B}"/>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Sheet1!$B$1:$K$1</c:f>
              <c:strCache>
                <c:ptCount val="10"/>
                <c:pt idx="0">
                  <c:v>01</c:v>
                </c:pt>
                <c:pt idx="1">
                  <c:v>02</c:v>
                </c:pt>
                <c:pt idx="2">
                  <c:v>03</c:v>
                </c:pt>
                <c:pt idx="3">
                  <c:v>04</c:v>
                </c:pt>
                <c:pt idx="4">
                  <c:v>05</c:v>
                </c:pt>
                <c:pt idx="5">
                  <c:v>06</c:v>
                </c:pt>
                <c:pt idx="6">
                  <c:v>07</c:v>
                </c:pt>
                <c:pt idx="7">
                  <c:v>08</c:v>
                </c:pt>
                <c:pt idx="8">
                  <c:v>09</c:v>
                </c:pt>
                <c:pt idx="9">
                  <c:v>10</c:v>
                </c:pt>
              </c:strCache>
            </c:strRef>
          </c:cat>
          <c:val>
            <c:numRef>
              <c:f>Sheet1!$B$2:$K$2</c:f>
              <c:numCache>
                <c:formatCode>_(* #,##0.0_);_(* \(#,##0.0\);_(* "-"??_);_(@_)</c:formatCode>
                <c:ptCount val="10"/>
                <c:pt idx="0">
                  <c:v>671.28528175999998</c:v>
                </c:pt>
                <c:pt idx="1">
                  <c:v>549.02497886000003</c:v>
                </c:pt>
                <c:pt idx="2">
                  <c:v>227.83711662000002</c:v>
                </c:pt>
                <c:pt idx="3">
                  <c:v>203.66731700999998</c:v>
                </c:pt>
                <c:pt idx="4">
                  <c:v>10.748577560000001</c:v>
                </c:pt>
                <c:pt idx="5">
                  <c:v>14.522950439999999</c:v>
                </c:pt>
                <c:pt idx="6">
                  <c:v>154.81912997000001</c:v>
                </c:pt>
                <c:pt idx="7">
                  <c:v>40.495871840000007</c:v>
                </c:pt>
                <c:pt idx="8">
                  <c:v>231.00424722</c:v>
                </c:pt>
                <c:pt idx="9">
                  <c:v>851.91342671000007</c:v>
                </c:pt>
              </c:numCache>
            </c:numRef>
          </c:val>
          <c:extLst>
            <c:ext xmlns:c16="http://schemas.microsoft.com/office/drawing/2014/chart" uri="{C3380CC4-5D6E-409C-BE32-E72D297353CC}">
              <c16:uniqueId val="{00000012-1050-478B-BB11-EFCBA5D4756B}"/>
            </c:ext>
          </c:extLst>
        </c:ser>
        <c:dLbls>
          <c:showLegendKey val="0"/>
          <c:showVal val="1"/>
          <c:showCatName val="0"/>
          <c:showSerName val="0"/>
          <c:showPercent val="0"/>
          <c:showBubbleSize val="0"/>
        </c:dLbls>
        <c:gapWidth val="150"/>
        <c:axId val="231215104"/>
        <c:axId val="231216640"/>
      </c:barChart>
      <c:scatterChart>
        <c:scatterStyle val="lineMarker"/>
        <c:varyColors val="0"/>
        <c:ser>
          <c:idx val="2"/>
          <c:order val="2"/>
          <c:tx>
            <c:strRef>
              <c:f>Sheet1!$A$4</c:f>
              <c:strCache>
                <c:ptCount val="1"/>
                <c:pt idx="0">
                  <c:v>Աճ, % (աջ առանցք)</c:v>
                </c:pt>
              </c:strCache>
            </c:strRef>
          </c:tx>
          <c:spPr>
            <a:ln w="28575">
              <a:noFill/>
            </a:ln>
          </c:spPr>
          <c:marker>
            <c:spPr>
              <a:solidFill>
                <a:srgbClr val="44546A"/>
              </a:solidFill>
              <a:ln>
                <a:solidFill>
                  <a:sysClr val="windowText" lastClr="000000"/>
                </a:solidFill>
              </a:ln>
            </c:spPr>
          </c:marker>
          <c:dLbls>
            <c:dLbl>
              <c:idx val="0"/>
              <c:layout>
                <c:manualLayout>
                  <c:x val="-4.4282191368306266E-2"/>
                  <c:y val="-3.307147974124508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1050-478B-BB11-EFCBA5D4756B}"/>
                </c:ext>
              </c:extLst>
            </c:dLbl>
            <c:dLbl>
              <c:idx val="1"/>
              <c:layout>
                <c:manualLayout>
                  <c:x val="-1.9302514932627649E-2"/>
                  <c:y val="-3.49720155033423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1050-478B-BB11-EFCBA5D4756B}"/>
                </c:ext>
              </c:extLst>
            </c:dLbl>
            <c:dLbl>
              <c:idx val="3"/>
              <c:layout>
                <c:manualLayout>
                  <c:x val="-3.317353338362676E-2"/>
                  <c:y val="-4.96070662119895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1050-478B-BB11-EFCBA5D4756B}"/>
                </c:ext>
              </c:extLst>
            </c:dLbl>
            <c:dLbl>
              <c:idx val="4"/>
              <c:layout>
                <c:manualLayout>
                  <c:x val="-2.4979725206929843E-2"/>
                  <c:y val="-3.497201550334230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1050-478B-BB11-EFCBA5D4756B}"/>
                </c:ext>
              </c:extLst>
            </c:dLbl>
            <c:dLbl>
              <c:idx val="5"/>
              <c:layout>
                <c:manualLayout>
                  <c:x val="-3.0656935481232082E-2"/>
                  <c:y val="-4.08006847538993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1050-478B-BB11-EFCBA5D4756B}"/>
                </c:ext>
              </c:extLst>
            </c:dLbl>
            <c:dLbl>
              <c:idx val="6"/>
              <c:layout>
                <c:manualLayout>
                  <c:x val="-2.4979725206929843E-2"/>
                  <c:y val="-4.080091422906680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1050-478B-BB11-EFCBA5D4756B}"/>
                </c:ext>
              </c:extLst>
            </c:dLbl>
            <c:dLbl>
              <c:idx val="7"/>
              <c:layout>
                <c:manualLayout>
                  <c:x val="-3.1770518430564255E-2"/>
                  <c:y val="-4.859339981684054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1050-478B-BB11-EFCBA5D4756B}"/>
                </c:ext>
              </c:extLst>
            </c:dLbl>
            <c:dLbl>
              <c:idx val="8"/>
              <c:layout>
                <c:manualLayout>
                  <c:x val="-2.7250609316650739E-2"/>
                  <c:y val="-3.20576808780637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1050-478B-BB11-EFCBA5D4756B}"/>
                </c:ext>
              </c:extLst>
            </c:dLbl>
            <c:dLbl>
              <c:idx val="9"/>
              <c:layout>
                <c:manualLayout>
                  <c:x val="-2.4979725206929843E-2"/>
                  <c:y val="-3.20576808780637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1050-478B-BB11-EFCBA5D4756B}"/>
                </c:ext>
              </c:extLst>
            </c:dLbl>
            <c:numFmt formatCode="0.0%" sourceLinked="0"/>
            <c:spPr>
              <a:noFill/>
              <a:ln>
                <a:noFill/>
              </a:ln>
              <a:effectLst/>
            </c:spPr>
            <c:txPr>
              <a:bodyPr/>
              <a:lstStyle/>
              <a:p>
                <a:pPr>
                  <a:defRPr sz="800" b="1" baseline="0">
                    <a:solidFill>
                      <a:schemeClr val="tx1"/>
                    </a:solidFill>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xVal>
            <c:strRef>
              <c:f>Sheet1!$B$1:$K$1</c:f>
              <c:strCache>
                <c:ptCount val="10"/>
                <c:pt idx="0">
                  <c:v>01</c:v>
                </c:pt>
                <c:pt idx="1">
                  <c:v>02</c:v>
                </c:pt>
                <c:pt idx="2">
                  <c:v>03</c:v>
                </c:pt>
                <c:pt idx="3">
                  <c:v>04</c:v>
                </c:pt>
                <c:pt idx="4">
                  <c:v>05</c:v>
                </c:pt>
                <c:pt idx="5">
                  <c:v>06</c:v>
                </c:pt>
                <c:pt idx="6">
                  <c:v>07</c:v>
                </c:pt>
                <c:pt idx="7">
                  <c:v>08</c:v>
                </c:pt>
                <c:pt idx="8">
                  <c:v>09</c:v>
                </c:pt>
                <c:pt idx="9">
                  <c:v>10</c:v>
                </c:pt>
              </c:strCache>
            </c:strRef>
          </c:xVal>
          <c:yVal>
            <c:numRef>
              <c:f>Sheet1!$B$4:$K$4</c:f>
              <c:numCache>
                <c:formatCode>0.0%</c:formatCode>
                <c:ptCount val="10"/>
                <c:pt idx="0">
                  <c:v>0.28471026648825926</c:v>
                </c:pt>
                <c:pt idx="1">
                  <c:v>4.404443764557131E-2</c:v>
                </c:pt>
                <c:pt idx="2">
                  <c:v>9.7646751488865258E-2</c:v>
                </c:pt>
                <c:pt idx="3">
                  <c:v>2.264871178793193E-2</c:v>
                </c:pt>
                <c:pt idx="4">
                  <c:v>0.39414224967388289</c:v>
                </c:pt>
                <c:pt idx="5">
                  <c:v>0.33302927226251744</c:v>
                </c:pt>
                <c:pt idx="6">
                  <c:v>9.5838695420691122E-2</c:v>
                </c:pt>
                <c:pt idx="7">
                  <c:v>-6.4093867202335453E-2</c:v>
                </c:pt>
                <c:pt idx="8">
                  <c:v>0.25839178223992443</c:v>
                </c:pt>
                <c:pt idx="9">
                  <c:v>0.207029815076472</c:v>
                </c:pt>
              </c:numCache>
            </c:numRef>
          </c:yVal>
          <c:smooth val="0"/>
          <c:extLst>
            <c:ext xmlns:c16="http://schemas.microsoft.com/office/drawing/2014/chart" uri="{C3380CC4-5D6E-409C-BE32-E72D297353CC}">
              <c16:uniqueId val="{0000001D-1050-478B-BB11-EFCBA5D4756B}"/>
            </c:ext>
          </c:extLst>
        </c:ser>
        <c:dLbls>
          <c:showLegendKey val="0"/>
          <c:showVal val="0"/>
          <c:showCatName val="0"/>
          <c:showSerName val="0"/>
          <c:showPercent val="0"/>
          <c:showBubbleSize val="0"/>
        </c:dLbls>
        <c:axId val="572755904"/>
        <c:axId val="572753608"/>
      </c:scatterChart>
      <c:catAx>
        <c:axId val="231215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GHEA Grapalat" panose="02000506050000020003" pitchFamily="50" charset="0"/>
                <a:ea typeface="+mn-ea"/>
                <a:cs typeface="+mn-cs"/>
              </a:defRPr>
            </a:pPr>
            <a:endParaRPr lang="en-US"/>
          </a:p>
        </c:txPr>
        <c:crossAx val="231216640"/>
        <c:crosses val="autoZero"/>
        <c:auto val="1"/>
        <c:lblAlgn val="ctr"/>
        <c:lblOffset val="100"/>
        <c:noMultiLvlLbl val="0"/>
      </c:catAx>
      <c:valAx>
        <c:axId val="231216640"/>
        <c:scaling>
          <c:orientation val="minMax"/>
          <c:max val="1000"/>
          <c:min val="0"/>
        </c:scaling>
        <c:delete val="0"/>
        <c:axPos val="l"/>
        <c:majorGridlines>
          <c:spPr>
            <a:ln w="9525" cap="flat" cmpd="sng" algn="ctr">
              <a:solidFill>
                <a:schemeClr val="tx1">
                  <a:lumMod val="15000"/>
                  <a:lumOff val="85000"/>
                </a:schemeClr>
              </a:solidFill>
              <a:round/>
            </a:ln>
            <a:effectLst/>
          </c:spPr>
        </c:majorGridlines>
        <c:numFmt formatCode="_(* #,##0.0_);_(* \(#,##0.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GHEA Grapalat" panose="02000506050000020003" pitchFamily="50" charset="0"/>
                <a:ea typeface="+mn-ea"/>
                <a:cs typeface="+mn-cs"/>
              </a:defRPr>
            </a:pPr>
            <a:endParaRPr lang="en-US"/>
          </a:p>
        </c:txPr>
        <c:crossAx val="231215104"/>
        <c:crosses val="autoZero"/>
        <c:crossBetween val="between"/>
        <c:majorUnit val="200"/>
      </c:valAx>
      <c:valAx>
        <c:axId val="572753608"/>
        <c:scaling>
          <c:orientation val="minMax"/>
          <c:max val="0.4"/>
        </c:scaling>
        <c:delete val="0"/>
        <c:axPos val="r"/>
        <c:numFmt formatCode="0.0%" sourceLinked="1"/>
        <c:majorTickMark val="out"/>
        <c:minorTickMark val="none"/>
        <c:tickLblPos val="nextTo"/>
        <c:txPr>
          <a:bodyPr/>
          <a:lstStyle/>
          <a:p>
            <a:pPr>
              <a:defRPr sz="900"/>
            </a:pPr>
            <a:endParaRPr lang="en-US"/>
          </a:p>
        </c:txPr>
        <c:crossAx val="572755904"/>
        <c:crosses val="max"/>
        <c:crossBetween val="midCat"/>
        <c:majorUnit val="0.1"/>
      </c:valAx>
      <c:valAx>
        <c:axId val="572755904"/>
        <c:scaling>
          <c:orientation val="minMax"/>
        </c:scaling>
        <c:delete val="1"/>
        <c:axPos val="t"/>
        <c:numFmt formatCode="General" sourceLinked="1"/>
        <c:majorTickMark val="out"/>
        <c:minorTickMark val="none"/>
        <c:tickLblPos val="nextTo"/>
        <c:crossAx val="572753608"/>
        <c:crosses val="max"/>
        <c:crossBetween val="midCat"/>
      </c:valAx>
      <c:spPr>
        <a:effectLst/>
      </c:spPr>
    </c:plotArea>
    <c:legend>
      <c:legendPos val="r"/>
      <c:layout>
        <c:manualLayout>
          <c:xMode val="edge"/>
          <c:yMode val="edge"/>
          <c:x val="7.1911072844289547E-2"/>
          <c:y val="0.91542174995513048"/>
          <c:w val="0.83924031101050645"/>
          <c:h val="6.3604191498271956E-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2"/>
              </a:solidFill>
              <a:latin typeface="GHEA Grapalat" panose="02000506050000020003" pitchFamily="50" charset="0"/>
              <a:ea typeface="+mn-ea"/>
              <a:cs typeface="+mn-cs"/>
            </a:defRPr>
          </a:pPr>
          <a:endParaRPr lang="en-US"/>
        </a:p>
      </c:txPr>
    </c:legend>
    <c:plotVisOnly val="1"/>
    <c:dispBlanksAs val="gap"/>
    <c:showDLblsOverMax val="0"/>
  </c:chart>
  <c:spPr>
    <a:noFill/>
    <a:ln>
      <a:solidFill>
        <a:schemeClr val="bg1">
          <a:lumMod val="65000"/>
        </a:schemeClr>
      </a:solidFill>
    </a:ln>
    <a:effectLst/>
  </c:spPr>
  <c:txPr>
    <a:bodyPr/>
    <a:lstStyle/>
    <a:p>
      <a:pPr>
        <a:defRPr sz="1200">
          <a:latin typeface="GHEA Grapalat" panose="02000506050000020003" pitchFamily="50" charset="0"/>
        </a:defRPr>
      </a:pPr>
      <a:endParaRPr lang="en-US"/>
    </a:p>
  </c:tx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39054-F7F5-40CC-BEF0-AC8166FBF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944</TotalTime>
  <Pages>4</Pages>
  <Words>1118</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Almast Gasparyan</dc:creator>
  <cp:keywords/>
  <dc:description/>
  <cp:lastModifiedBy>Emma Ghaytanjyan</cp:lastModifiedBy>
  <cp:revision>77</cp:revision>
  <cp:lastPrinted>2025-04-03T15:49:00Z</cp:lastPrinted>
  <dcterms:created xsi:type="dcterms:W3CDTF">2025-04-03T11:20:00Z</dcterms:created>
  <dcterms:modified xsi:type="dcterms:W3CDTF">2025-04-11T13:52:00Z</dcterms:modified>
</cp:coreProperties>
</file>